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837A196" w14:textId="12EC6B84" w:rsidR="009B6F95" w:rsidRPr="00C803F3" w:rsidRDefault="001E44A0" w:rsidP="009B6F95">
          <w:pPr>
            <w:pStyle w:val="Title1"/>
          </w:pPr>
          <w:r>
            <w:t>Business Rates Ret</w:t>
          </w:r>
          <w:r w:rsidR="00BE3F2C">
            <w:t>ention and Fair Funding Review U</w:t>
          </w:r>
          <w:r>
            <w:t>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15B17B3" w:rsidR="00795C95" w:rsidRDefault="00BC4B89" w:rsidP="00B84F31">
          <w:pPr>
            <w:ind w:left="0" w:firstLine="0"/>
            <w:rPr>
              <w:rStyle w:val="Title3Char"/>
            </w:rPr>
          </w:pPr>
          <w:r>
            <w:rPr>
              <w:rStyle w:val="Title3Char"/>
            </w:rPr>
            <w:t>For direction.</w:t>
          </w:r>
        </w:p>
      </w:sdtContent>
    </w:sdt>
    <w:p w14:paraId="5837A19A" w14:textId="1454CE3B" w:rsidR="009B6F95" w:rsidRPr="00C803F3" w:rsidRDefault="009B6F95" w:rsidP="000A7829">
      <w:pPr>
        <w:tabs>
          <w:tab w:val="left" w:pos="7110"/>
        </w:tabs>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1CCADA08" w:rsidR="009B6F95" w:rsidRDefault="00E3524A" w:rsidP="00E3524A">
      <w:pPr>
        <w:pStyle w:val="Title3"/>
      </w:pPr>
      <w:r w:rsidRPr="00E3524A">
        <w:t xml:space="preserve">This report provides a summary of progress on the Fair Funding Review and Business </w:t>
      </w:r>
      <w:r w:rsidR="00BC4B89">
        <w:t xml:space="preserve">Rates Retention work programmes </w:t>
      </w:r>
      <w:r w:rsidR="009A1D92" w:rsidRPr="00A814EE">
        <w:t>since the last meeting</w:t>
      </w:r>
      <w:r w:rsidR="000A7829">
        <w:t>s</w:t>
      </w:r>
      <w:r w:rsidR="009A1D92" w:rsidRPr="00A814EE">
        <w:t xml:space="preserve"> of </w:t>
      </w:r>
      <w:r w:rsidR="009A1D92" w:rsidRPr="000A7829">
        <w:t>Leadership Board</w:t>
      </w:r>
      <w:r w:rsidR="00842F7C" w:rsidRPr="000A7829">
        <w:t xml:space="preserve"> </w:t>
      </w:r>
      <w:r w:rsidR="000A7829" w:rsidRPr="000A7829">
        <w:t>and</w:t>
      </w:r>
      <w:r w:rsidR="00842F7C" w:rsidRPr="000A7829">
        <w:t xml:space="preserve"> Executive</w:t>
      </w:r>
      <w:r w:rsidR="00BC4B89" w:rsidRPr="00A814EE">
        <w:t>.</w:t>
      </w:r>
    </w:p>
    <w:p w14:paraId="5837A19E" w14:textId="77777777" w:rsidR="009B6F95" w:rsidRDefault="00C803F3"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669BC44B">
                <wp:simplePos x="0" y="0"/>
                <wp:positionH relativeFrom="margin">
                  <wp:align>right</wp:align>
                </wp:positionH>
                <wp:positionV relativeFrom="paragraph">
                  <wp:posOffset>71120</wp:posOffset>
                </wp:positionV>
                <wp:extent cx="5705475" cy="2343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136782" w:rsidRPr="00A627DD" w:rsidRDefault="00136782" w:rsidP="00B84F31">
                                <w:pPr>
                                  <w:ind w:left="0" w:firstLine="0"/>
                                </w:pPr>
                                <w:r>
                                  <w:rPr>
                                    <w:rStyle w:val="Style6"/>
                                  </w:rPr>
                                  <w:t>Recommendations</w:t>
                                </w:r>
                              </w:p>
                            </w:sdtContent>
                          </w:sdt>
                          <w:p w14:paraId="5837A1DE" w14:textId="3F771AB9" w:rsidR="00136782" w:rsidRDefault="00136782" w:rsidP="00E3524A">
                            <w:pPr>
                              <w:pStyle w:val="Title3"/>
                            </w:pPr>
                            <w:r w:rsidRPr="00375564">
                              <w:t xml:space="preserve">That </w:t>
                            </w:r>
                            <w:r w:rsidR="00D54235">
                              <w:t>the LGA Leadership Board</w:t>
                            </w:r>
                            <w:r w:rsidRPr="00375564">
                              <w:t xml:space="preserve"> </w:t>
                            </w:r>
                            <w:r>
                              <w:t>note the progress update, including the announcement by the Secretary of State that implementation of further business rates retention and the Fair Funding review will be delayed until 2021/22.</w:t>
                            </w:r>
                          </w:p>
                          <w:p w14:paraId="5837A1DF" w14:textId="4D340628" w:rsidR="00136782" w:rsidRPr="00A627DD" w:rsidRDefault="008427D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36782">
                                  <w:rPr>
                                    <w:rStyle w:val="Style6"/>
                                  </w:rPr>
                                  <w:t>Action</w:t>
                                </w:r>
                              </w:sdtContent>
                            </w:sdt>
                          </w:p>
                          <w:p w14:paraId="5837A1E1" w14:textId="6F6A70E3" w:rsidR="00136782" w:rsidRDefault="00136782" w:rsidP="00E3524A">
                            <w:pPr>
                              <w:ind w:left="0" w:firstLine="0"/>
                            </w:pPr>
                            <w:r w:rsidRPr="00E3524A">
                              <w:t xml:space="preserve">Officers will proceed with </w:t>
                            </w:r>
                            <w:r>
                              <w:t xml:space="preserve">the </w:t>
                            </w:r>
                            <w:r w:rsidRPr="00E3524A">
                              <w:t xml:space="preserve">delivery of the LGA work programme on </w:t>
                            </w:r>
                            <w:r>
                              <w:t xml:space="preserve">Further </w:t>
                            </w:r>
                            <w:r w:rsidRPr="00E3524A">
                              <w:t>Business Rates Retention and the Fair Funding Review as directed by the LGA Leadership Board, Executive and the Business Rates Retention and Fair Funding Review Task and Finish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8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OCkgIAALMFAAAOAAAAZHJzL2Uyb0RvYy54bWysVEtPGzEQvlfqf7B8L5uEBNqIDUpBVJUQ&#10;oELF2fHaxMLrcW0nu+mvZ8a7CeFxoepld+z55vV5Zk5O29qytQrRgCv58GDAmXISKuMeSv777uLL&#10;V85iEq4SFpwq+UZFfjr7/Omk8VM1giXYSgWGTlycNr7ky5T8tCiiXKpaxAPwyqFSQ6hFwmN4KKog&#10;GvRe22I0GBwVDYTKB5AqRrw975R8lv1rrWS61jqqxGzJMbeUvyF/F/QtZidi+hCEXxrZpyH+IYta&#10;GIdBd67ORRJsFcwbV7WRASLodCChLkBrI1WuAasZDl5Vc7sUXuVakJzodzTF/+dWXq1vAjMVvh1n&#10;TtT4RHeqTew7tGxI7DQ+ThF06xGWWrwmZH8f8ZKKbnWo6Y/lMNQjz5sdt+RM4uXkeDAZH084k6gb&#10;HY4Ph5PMfvFs7kNMPxTUjISSB3y8zKlYX8aEIRG6hVC0CNZUF8bafKCGUWc2sLXAp7YpJ4kWL1DW&#10;sabkR4cY+o0Hcr2zX1ghH6nMlx7wZB1ZqtxafVpEUUdFltLGKsJY90tppDYz8k6OQkrldnlmNKE0&#10;VvQRwx7/nNVHjLs60CJHBpd2xrVxEDqWXlJbPW6p1R0eSdqrm8TULtq+RRZQbbBzAnSTF728MEj0&#10;pYjpRgQcNWwWXB/pGj/aAr4O9BJnSwh/37snPE4AajlrcHRLHv+sRFCc2Z8OZ+PbcDymWc+H8eR4&#10;hIewr1nsa9yqPgNsGex/zC6LhE92K+oA9T1umTlFRZVwEmOXPG3Fs9QtFNxSUs3nGYTT7UW6dLde&#10;kmuilxrsrr0XwfcNnnA2rmA75GL6qs87LFk6mK8SaJOHgAjuWO2Jx82Q+7TfYrR69s8Z9bxrZ08A&#10;AAD//wMAUEsDBBQABgAIAAAAIQDqqxU02wAAAAcBAAAPAAAAZHJzL2Rvd25yZXYueG1sTI/BTsMw&#10;EETvSPyDtUjcqNMgkJvGqQAVLpxoEWc3dm2r8Tqy3TT8PcsJjjszmnnbbuYwsMmk7CNKWC4qYAb7&#10;qD1aCZ/71zsBLBeFWg0RjYRvk2HTXV+1qtHxgh9m2hXLqARzoyS4UsaG89w7E1RexNEgeceYgip0&#10;Jst1UhcqDwOvq+qRB+WRFpwazYsz/Wl3DhK2z3Zle6GS2wrt/TR/Hd/tm5S3N/PTGlgxc/kLwy8+&#10;oUNHTId4Rp3ZIIEeKaQua2DkipV4AHaQcC+qGnjX8v/83Q8AAAD//wMAUEsBAi0AFAAGAAgAAAAh&#10;ALaDOJL+AAAA4QEAABMAAAAAAAAAAAAAAAAAAAAAAFtDb250ZW50X1R5cGVzXS54bWxQSwECLQAU&#10;AAYACAAAACEAOP0h/9YAAACUAQAACwAAAAAAAAAAAAAAAAAvAQAAX3JlbHMvLnJlbHNQSwECLQAU&#10;AAYACAAAACEAzLFDgpICAACzBQAADgAAAAAAAAAAAAAAAAAuAgAAZHJzL2Uyb0RvYy54bWxQSwEC&#10;LQAUAAYACAAAACEA6qsVN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136782" w:rsidRPr="00A627DD" w:rsidRDefault="00136782" w:rsidP="00B84F31">
                          <w:pPr>
                            <w:ind w:left="0" w:firstLine="0"/>
                          </w:pPr>
                          <w:r>
                            <w:rPr>
                              <w:rStyle w:val="Style6"/>
                            </w:rPr>
                            <w:t>Recommendations</w:t>
                          </w:r>
                        </w:p>
                      </w:sdtContent>
                    </w:sdt>
                    <w:p w14:paraId="5837A1DE" w14:textId="3F771AB9" w:rsidR="00136782" w:rsidRDefault="00136782" w:rsidP="00E3524A">
                      <w:pPr>
                        <w:pStyle w:val="Title3"/>
                      </w:pPr>
                      <w:r w:rsidRPr="00375564">
                        <w:t xml:space="preserve">That </w:t>
                      </w:r>
                      <w:r w:rsidR="00D54235">
                        <w:t>the LGA Leadership Board</w:t>
                      </w:r>
                      <w:bookmarkStart w:id="2" w:name="_GoBack"/>
                      <w:bookmarkEnd w:id="2"/>
                      <w:r w:rsidRPr="00375564">
                        <w:t xml:space="preserve"> </w:t>
                      </w:r>
                      <w:r>
                        <w:t>note the progress update, including the announcement by the Secretary of State that implementation of further business rates retention and the Fair Funding review will be delayed until 2021/22.</w:t>
                      </w:r>
                    </w:p>
                    <w:p w14:paraId="5837A1DF" w14:textId="4D340628" w:rsidR="00136782" w:rsidRPr="00A627DD" w:rsidRDefault="00D5423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36782">
                            <w:rPr>
                              <w:rStyle w:val="Style6"/>
                            </w:rPr>
                            <w:t>Action</w:t>
                          </w:r>
                        </w:sdtContent>
                      </w:sdt>
                    </w:p>
                    <w:p w14:paraId="5837A1E1" w14:textId="6F6A70E3" w:rsidR="00136782" w:rsidRDefault="00136782" w:rsidP="00E3524A">
                      <w:pPr>
                        <w:ind w:left="0" w:firstLine="0"/>
                      </w:pPr>
                      <w:r w:rsidRPr="00E3524A">
                        <w:t xml:space="preserve">Officers will proceed with </w:t>
                      </w:r>
                      <w:r>
                        <w:t xml:space="preserve">the </w:t>
                      </w:r>
                      <w:r w:rsidRPr="00E3524A">
                        <w:t xml:space="preserve">delivery of the LGA work programme on </w:t>
                      </w:r>
                      <w:r>
                        <w:t xml:space="preserve">Further </w:t>
                      </w:r>
                      <w:r w:rsidRPr="00E3524A">
                        <w:t>Business Rates Retention and the Fair Funding Review as directed by the LGA Leadership Board, Executive and the Business Rates Retention and Fair Funding Review Task and Finish Group.</w:t>
                      </w:r>
                    </w:p>
                  </w:txbxContent>
                </v:textbox>
                <w10:wrap anchorx="margin"/>
              </v:shape>
            </w:pict>
          </mc:Fallback>
        </mc:AlternateContent>
      </w:r>
    </w:p>
    <w:p w14:paraId="5837A19F" w14:textId="77777777" w:rsidR="009B6F95" w:rsidRDefault="009B6F95" w:rsidP="00E3524A">
      <w:pPr>
        <w:pStyle w:val="Title3"/>
      </w:pPr>
    </w:p>
    <w:p w14:paraId="5837A1A0" w14:textId="77777777" w:rsidR="009B6F95" w:rsidRDefault="009B6F95" w:rsidP="00E3524A">
      <w:pPr>
        <w:pStyle w:val="Title3"/>
      </w:pPr>
    </w:p>
    <w:p w14:paraId="5837A1A1" w14:textId="77777777" w:rsidR="009B6F95" w:rsidRDefault="009B6F95" w:rsidP="00E3524A">
      <w:pPr>
        <w:pStyle w:val="Title3"/>
      </w:pPr>
    </w:p>
    <w:p w14:paraId="5837A1A2" w14:textId="77777777" w:rsidR="009B6F95" w:rsidRDefault="009B6F95" w:rsidP="00E3524A">
      <w:pPr>
        <w:pStyle w:val="Title3"/>
      </w:pPr>
    </w:p>
    <w:p w14:paraId="5837A1A3" w14:textId="77777777" w:rsidR="009B6F95" w:rsidRDefault="009B6F95" w:rsidP="00E3524A">
      <w:pPr>
        <w:pStyle w:val="Title3"/>
      </w:pPr>
    </w:p>
    <w:p w14:paraId="5837A1A4" w14:textId="77777777" w:rsidR="009B6F95" w:rsidRDefault="009B6F95" w:rsidP="00E3524A">
      <w:pPr>
        <w:pStyle w:val="Title3"/>
      </w:pPr>
    </w:p>
    <w:p w14:paraId="5837A1A5" w14:textId="77777777" w:rsidR="009B6F95" w:rsidRDefault="009B6F95" w:rsidP="00E3524A">
      <w:pPr>
        <w:pStyle w:val="Title3"/>
      </w:pPr>
    </w:p>
    <w:p w14:paraId="5837A1A6" w14:textId="77777777" w:rsidR="009B6F95" w:rsidRDefault="009B6F95" w:rsidP="00E3524A">
      <w:pPr>
        <w:pStyle w:val="Title3"/>
      </w:pPr>
    </w:p>
    <w:p w14:paraId="5837A1A7" w14:textId="77777777" w:rsidR="009B6F95" w:rsidRDefault="009B6F95" w:rsidP="00E3524A">
      <w:pPr>
        <w:pStyle w:val="Title3"/>
      </w:pPr>
    </w:p>
    <w:p w14:paraId="5837A1A8" w14:textId="100B8E70" w:rsidR="009B6F95" w:rsidRPr="00C803F3" w:rsidRDefault="008427D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B2608">
            <w:t>Sarah Pi</w:t>
          </w:r>
          <w:r w:rsidR="00375564">
            <w:t>ckup</w:t>
          </w:r>
        </w:sdtContent>
      </w:sdt>
    </w:p>
    <w:p w14:paraId="5837A1A9" w14:textId="4BC9240B" w:rsidR="009B6F95" w:rsidRDefault="008427D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75564">
            <w:t>Deputy Chief Executive</w:t>
          </w:r>
        </w:sdtContent>
      </w:sdt>
    </w:p>
    <w:p w14:paraId="5837A1AA" w14:textId="37064931" w:rsidR="009B6F95" w:rsidRDefault="008427D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3F7C27920FF3DE4DA6565E7C34883F50"/>
          </w:placeholder>
          <w:text w:multiLine="1"/>
        </w:sdtPr>
        <w:sdtEndPr/>
        <w:sdtContent>
          <w:r w:rsidR="00375564" w:rsidRPr="00375564">
            <w:t>020</w:t>
          </w:r>
          <w:r w:rsidR="005A42F4">
            <w:t xml:space="preserve"> </w:t>
          </w:r>
          <w:r w:rsidR="00375564" w:rsidRPr="00375564">
            <w:t>7664 3109</w:t>
          </w:r>
        </w:sdtContent>
      </w:sdt>
      <w:r w:rsidR="009B6F95" w:rsidRPr="00B5377C">
        <w:t xml:space="preserve"> </w:t>
      </w:r>
    </w:p>
    <w:p w14:paraId="5837A1AB" w14:textId="5D3800F5" w:rsidR="009B6F95" w:rsidRDefault="008427D6" w:rsidP="00E3524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75564">
            <w:t>sarah.pickup</w:t>
          </w:r>
          <w:r w:rsidR="009B6F95" w:rsidRPr="00C803F3">
            <w:t>@local.gov.uk</w:t>
          </w:r>
        </w:sdtContent>
      </w:sdt>
    </w:p>
    <w:p w14:paraId="5837A1AC" w14:textId="77777777" w:rsidR="009B6F95" w:rsidRPr="00E8118A" w:rsidRDefault="009B6F95" w:rsidP="00E3524A">
      <w:pPr>
        <w:pStyle w:val="Title3"/>
      </w:pPr>
    </w:p>
    <w:p w14:paraId="5837A1AD" w14:textId="6525B00E" w:rsidR="009B6F95" w:rsidRPr="00C803F3" w:rsidRDefault="009B6F95" w:rsidP="00E3524A">
      <w:pPr>
        <w:pStyle w:val="Title3"/>
      </w:pP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397711172"/>
          <w:placeholder>
            <w:docPart w:val="263088DC6D8D47678CD4E35C0F883646"/>
          </w:placeholder>
          <w:text w:multiLine="1"/>
        </w:sdtPr>
        <w:sdtEndPr/>
        <w:sdtContent>
          <w:r w:rsidR="001E44A0" w:rsidRPr="001E44A0">
            <w:rPr>
              <w:rFonts w:eastAsiaTheme="minorEastAsia" w:cs="Arial"/>
              <w:bCs/>
              <w:lang w:eastAsia="ja-JP"/>
            </w:rPr>
            <w:t>Business Rates Retention and Fair Funding Review update</w:t>
          </w:r>
        </w:sdtContent>
      </w:sdt>
      <w:r>
        <w:fldChar w:fldCharType="end"/>
      </w:r>
    </w:p>
    <w:p w14:paraId="5837A1B4" w14:textId="77777777" w:rsidR="009B6F95" w:rsidRPr="00C803F3" w:rsidRDefault="008427D6" w:rsidP="00AF1FDD">
      <w:pPr>
        <w:keepLines/>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1645569" w14:textId="2D04E357" w:rsidR="00BC4B89" w:rsidRPr="00A814EE" w:rsidRDefault="00BC4B89" w:rsidP="00BC4B89">
      <w:pPr>
        <w:pStyle w:val="ListParagraph"/>
      </w:pPr>
      <w:r w:rsidRPr="00E3524A">
        <w:t xml:space="preserve">This report provides a summary of progress on the </w:t>
      </w:r>
      <w:r w:rsidR="00FA5C4B">
        <w:t xml:space="preserve">Review of Relative Needs and Resources (commonly called the </w:t>
      </w:r>
      <w:r w:rsidRPr="00E3524A">
        <w:t>Fair Funding Review</w:t>
      </w:r>
      <w:r w:rsidR="00FA5C4B">
        <w:t>)</w:t>
      </w:r>
      <w:r w:rsidRPr="00E3524A">
        <w:t xml:space="preserve"> and Business </w:t>
      </w:r>
      <w:r>
        <w:t xml:space="preserve">Rates Retention work </w:t>
      </w:r>
      <w:r w:rsidRPr="00A814EE">
        <w:t xml:space="preserve">programmes </w:t>
      </w:r>
      <w:r w:rsidR="009A1D92" w:rsidRPr="00A814EE">
        <w:t>since the last meeting</w:t>
      </w:r>
      <w:r w:rsidR="000A7829">
        <w:t>s</w:t>
      </w:r>
      <w:r w:rsidR="009A1D92" w:rsidRPr="00A814EE">
        <w:t xml:space="preserve"> of </w:t>
      </w:r>
      <w:r w:rsidR="009A1D92" w:rsidRPr="000A7829">
        <w:t>Leadership Board</w:t>
      </w:r>
      <w:r w:rsidR="000A7829" w:rsidRPr="000A7829">
        <w:t xml:space="preserve"> and</w:t>
      </w:r>
      <w:r w:rsidR="00842F7C" w:rsidRPr="000A7829">
        <w:t xml:space="preserve"> Executive</w:t>
      </w:r>
      <w:r w:rsidRPr="00A814EE">
        <w:t>.</w:t>
      </w:r>
    </w:p>
    <w:p w14:paraId="53DF1D03" w14:textId="77777777" w:rsidR="00BC4B89" w:rsidRDefault="00BC4B89" w:rsidP="00BC4B89">
      <w:pPr>
        <w:pStyle w:val="ListParagraph"/>
        <w:keepLines/>
        <w:numPr>
          <w:ilvl w:val="0"/>
          <w:numId w:val="0"/>
        </w:numPr>
        <w:ind w:left="360"/>
        <w:rPr>
          <w:rStyle w:val="ReportTemplate"/>
        </w:rPr>
      </w:pPr>
    </w:p>
    <w:p w14:paraId="5837A1B5" w14:textId="018A6E1B" w:rsidR="009B6F95" w:rsidRDefault="00375564" w:rsidP="00AF1FDD">
      <w:pPr>
        <w:pStyle w:val="ListParagraph"/>
        <w:keepLines/>
        <w:rPr>
          <w:rStyle w:val="ReportTemplate"/>
        </w:rPr>
      </w:pPr>
      <w:r w:rsidRPr="00375564">
        <w:rPr>
          <w:rStyle w:val="ReportTemplate"/>
        </w:rPr>
        <w:t xml:space="preserve">Members of Leadership Board and Executive have previously agreed </w:t>
      </w:r>
      <w:r w:rsidR="001E44A0">
        <w:rPr>
          <w:rStyle w:val="ReportTemplate"/>
        </w:rPr>
        <w:t xml:space="preserve">deliverables of an expanded LGA work programme on business rates retention and the </w:t>
      </w:r>
      <w:r w:rsidR="009E2624">
        <w:rPr>
          <w:rStyle w:val="ReportTemplate"/>
        </w:rPr>
        <w:t>F</w:t>
      </w:r>
      <w:r w:rsidR="001E44A0">
        <w:rPr>
          <w:rStyle w:val="ReportTemplate"/>
        </w:rPr>
        <w:t xml:space="preserve">air </w:t>
      </w:r>
      <w:r w:rsidR="009E2624">
        <w:rPr>
          <w:rStyle w:val="ReportTemplate"/>
        </w:rPr>
        <w:t>F</w:t>
      </w:r>
      <w:r w:rsidR="001E44A0">
        <w:rPr>
          <w:rStyle w:val="ReportTemplate"/>
        </w:rPr>
        <w:t xml:space="preserve">unding </w:t>
      </w:r>
      <w:r w:rsidR="009E2624">
        <w:rPr>
          <w:rStyle w:val="ReportTemplate"/>
        </w:rPr>
        <w:t>R</w:t>
      </w:r>
      <w:r w:rsidR="001E44A0">
        <w:rPr>
          <w:rStyle w:val="ReportTemplate"/>
        </w:rPr>
        <w:t>eview</w:t>
      </w:r>
      <w:r w:rsidRPr="00375564">
        <w:rPr>
          <w:rStyle w:val="ReportTemplate"/>
        </w:rPr>
        <w:t xml:space="preserve"> </w:t>
      </w:r>
      <w:r w:rsidR="00BC4B89">
        <w:rPr>
          <w:rStyle w:val="ReportTemplate"/>
        </w:rPr>
        <w:t>a</w:t>
      </w:r>
      <w:r w:rsidR="001E44A0">
        <w:rPr>
          <w:rStyle w:val="ReportTemplate"/>
        </w:rPr>
        <w:t>s</w:t>
      </w:r>
      <w:r w:rsidRPr="00375564">
        <w:rPr>
          <w:rStyle w:val="ReportTemplate"/>
        </w:rPr>
        <w:t xml:space="preserve"> set out in Appendix A</w:t>
      </w:r>
      <w:r w:rsidR="004B4E82">
        <w:rPr>
          <w:rStyle w:val="ReportTemplate"/>
        </w:rPr>
        <w:t>.</w:t>
      </w:r>
      <w:r w:rsidR="00BC4B89">
        <w:rPr>
          <w:rStyle w:val="ReportTemplate"/>
        </w:rPr>
        <w:t xml:space="preserve"> The programme is </w:t>
      </w:r>
      <w:r w:rsidR="00F03B7B">
        <w:rPr>
          <w:rStyle w:val="ReportTemplate"/>
        </w:rPr>
        <w:t>almost</w:t>
      </w:r>
      <w:r w:rsidR="00BC4B89">
        <w:rPr>
          <w:rStyle w:val="ReportTemplate"/>
        </w:rPr>
        <w:t xml:space="preserve"> complete</w:t>
      </w:r>
      <w:r w:rsidR="00AC685C">
        <w:rPr>
          <w:rStyle w:val="ReportTemplate"/>
        </w:rPr>
        <w:t xml:space="preserve"> but will be kept under review as MHCLG work on these policies progress</w:t>
      </w:r>
      <w:r w:rsidR="00BC4B89">
        <w:rPr>
          <w:rStyle w:val="ReportTemplate"/>
        </w:rPr>
        <w:t>.</w:t>
      </w:r>
    </w:p>
    <w:p w14:paraId="6442CEAE" w14:textId="77777777" w:rsidR="00314831" w:rsidRDefault="00314831" w:rsidP="00D2676B">
      <w:pPr>
        <w:pStyle w:val="ListParagraph"/>
        <w:numPr>
          <w:ilvl w:val="0"/>
          <w:numId w:val="0"/>
        </w:numPr>
        <w:ind w:left="360"/>
      </w:pPr>
    </w:p>
    <w:p w14:paraId="0815226E" w14:textId="081090DE" w:rsidR="009C4219" w:rsidRPr="000A7829" w:rsidRDefault="0012016E" w:rsidP="009C4219">
      <w:pPr>
        <w:ind w:left="0" w:firstLine="0"/>
        <w:rPr>
          <w:rStyle w:val="Style6"/>
        </w:rPr>
      </w:pPr>
      <w:r>
        <w:rPr>
          <w:rStyle w:val="Style6"/>
        </w:rPr>
        <w:t>Relevant Announcements in the 2019 Spending Round</w:t>
      </w:r>
    </w:p>
    <w:p w14:paraId="2B3A39DF" w14:textId="77777777" w:rsidR="00F1679B" w:rsidRDefault="009C4219" w:rsidP="009C4219">
      <w:pPr>
        <w:pStyle w:val="ListParagraph"/>
      </w:pPr>
      <w:r>
        <w:t>In letters to the Chancellor and Secretary of State for Communities and Local Government, in advance of the 2019 Spending Round (further information on these letters can be found in the item on the 2019 Spending Round and 2020 Spending Review), the LGA Chairman asked for urgent clarity on when further business rates retention and the outcome of the Fair Funding Review would be implemented.  In a letter sent to Leaders and Chief Executives on the day of the 2020 Spending Round announcement, the Secretary of State for Housing, Communities and Local Government confirmed a decision has been taken to delay the implementation of both reforms until 2021/22.</w:t>
      </w:r>
    </w:p>
    <w:p w14:paraId="25D28003" w14:textId="77777777" w:rsidR="0078594C" w:rsidRDefault="0078594C" w:rsidP="0078594C">
      <w:pPr>
        <w:pStyle w:val="ListParagraph"/>
        <w:numPr>
          <w:ilvl w:val="0"/>
          <w:numId w:val="0"/>
        </w:numPr>
        <w:ind w:left="360"/>
      </w:pPr>
    </w:p>
    <w:p w14:paraId="45392DBA" w14:textId="77777777" w:rsidR="0078594C" w:rsidRPr="0078594C" w:rsidRDefault="0078594C" w:rsidP="0078594C">
      <w:pPr>
        <w:pStyle w:val="ListParagraph"/>
      </w:pPr>
      <w:r>
        <w:t xml:space="preserve">In our </w:t>
      </w:r>
      <w:hyperlink r:id="rId11" w:history="1">
        <w:r w:rsidRPr="0078594C">
          <w:rPr>
            <w:rStyle w:val="Hyperlink"/>
          </w:rPr>
          <w:t>on the day briefing on the 2019 Spending Round</w:t>
        </w:r>
      </w:hyperlink>
      <w:r>
        <w:t xml:space="preserve"> we welcomed the clarification on the timing of the implementation of the reforms as it </w:t>
      </w:r>
      <w:r w:rsidRPr="005E3C76">
        <w:rPr>
          <w:rFonts w:cs="Arial"/>
        </w:rPr>
        <w:t>will allow time for the remaining decisions over the design of the reforms to be made by the Government including consultation with</w:t>
      </w:r>
      <w:r>
        <w:rPr>
          <w:rFonts w:cs="Arial"/>
        </w:rPr>
        <w:t xml:space="preserve"> local authorities.  We also asked for:</w:t>
      </w:r>
    </w:p>
    <w:p w14:paraId="25059424" w14:textId="77777777" w:rsidR="0078594C" w:rsidRPr="0078594C" w:rsidRDefault="0078594C" w:rsidP="0078594C">
      <w:pPr>
        <w:pStyle w:val="ListParagraph"/>
        <w:numPr>
          <w:ilvl w:val="0"/>
          <w:numId w:val="0"/>
        </w:numPr>
        <w:ind w:left="360"/>
        <w:rPr>
          <w:rFonts w:cs="Arial"/>
        </w:rPr>
      </w:pPr>
    </w:p>
    <w:p w14:paraId="507BD8E3" w14:textId="29D1C873" w:rsidR="0078594C" w:rsidRDefault="0078594C" w:rsidP="0078594C">
      <w:pPr>
        <w:pStyle w:val="ListParagraph"/>
        <w:numPr>
          <w:ilvl w:val="1"/>
          <w:numId w:val="1"/>
        </w:numPr>
        <w:spacing w:after="0"/>
      </w:pPr>
      <w:r>
        <w:rPr>
          <w:rFonts w:cs="Arial"/>
        </w:rPr>
        <w:t xml:space="preserve"> </w:t>
      </w:r>
      <w:r w:rsidRPr="0078594C">
        <w:t>the Government to commit to removing the impact of appeals on local authorities as part of the reforms</w:t>
      </w:r>
      <w:r>
        <w:t>;</w:t>
      </w:r>
    </w:p>
    <w:p w14:paraId="3B7F9DB4" w14:textId="4CE2FF0D" w:rsidR="0078594C" w:rsidRPr="0078594C" w:rsidRDefault="0078594C" w:rsidP="0078594C">
      <w:pPr>
        <w:pStyle w:val="ListParagraph"/>
        <w:numPr>
          <w:ilvl w:val="1"/>
          <w:numId w:val="1"/>
        </w:numPr>
        <w:spacing w:after="0"/>
      </w:pPr>
      <w:r w:rsidRPr="005E3C76">
        <w:rPr>
          <w:rFonts w:cs="Arial"/>
        </w:rPr>
        <w:t xml:space="preserve">exemplifications of what the reforms mean for </w:t>
      </w:r>
      <w:r>
        <w:rPr>
          <w:rFonts w:cs="Arial"/>
        </w:rPr>
        <w:t>individual local authorities</w:t>
      </w:r>
      <w:r w:rsidRPr="005E3C76">
        <w:rPr>
          <w:rFonts w:cs="Arial"/>
        </w:rPr>
        <w:t xml:space="preserve"> as soon as possible</w:t>
      </w:r>
      <w:r>
        <w:rPr>
          <w:rFonts w:cs="Arial"/>
        </w:rPr>
        <w:t xml:space="preserve"> t</w:t>
      </w:r>
      <w:r w:rsidRPr="005E3C76">
        <w:rPr>
          <w:rFonts w:cs="Arial"/>
        </w:rPr>
        <w:t>o enable authorities to effectively plan for the changes</w:t>
      </w:r>
      <w:r>
        <w:rPr>
          <w:rFonts w:cs="Arial"/>
        </w:rPr>
        <w:t>;</w:t>
      </w:r>
    </w:p>
    <w:p w14:paraId="3B5F7CE6" w14:textId="31365C39" w:rsidR="0078594C" w:rsidRDefault="0078594C" w:rsidP="0078594C">
      <w:pPr>
        <w:pStyle w:val="ListParagraph"/>
        <w:numPr>
          <w:ilvl w:val="1"/>
          <w:numId w:val="1"/>
        </w:numPr>
        <w:spacing w:after="0"/>
      </w:pPr>
      <w:r w:rsidRPr="005E3C76">
        <w:rPr>
          <w:rFonts w:cs="Arial"/>
        </w:rPr>
        <w:t>Appropriate transition mechanisms to be put in place to avoid unsustainable shocks to any one local authority</w:t>
      </w:r>
      <w:r w:rsidR="0012016E">
        <w:rPr>
          <w:rFonts w:cs="Arial"/>
        </w:rPr>
        <w:t xml:space="preserve"> to </w:t>
      </w:r>
      <w:r w:rsidRPr="005E3C76">
        <w:rPr>
          <w:rFonts w:cs="Arial"/>
        </w:rPr>
        <w:t>ensur</w:t>
      </w:r>
      <w:r w:rsidR="0012016E">
        <w:rPr>
          <w:rFonts w:cs="Arial"/>
        </w:rPr>
        <w:t>e</w:t>
      </w:r>
      <w:r w:rsidRPr="005E3C76">
        <w:rPr>
          <w:rFonts w:cs="Arial"/>
        </w:rPr>
        <w:t xml:space="preserve"> that no council sees their funding reduce</w:t>
      </w:r>
      <w:r>
        <w:rPr>
          <w:rFonts w:cs="Arial"/>
        </w:rPr>
        <w:t>.</w:t>
      </w:r>
    </w:p>
    <w:p w14:paraId="5136255E" w14:textId="73C80DAC" w:rsidR="0078594C" w:rsidRDefault="0078594C" w:rsidP="0078594C">
      <w:pPr>
        <w:pStyle w:val="ListParagraph"/>
        <w:numPr>
          <w:ilvl w:val="0"/>
          <w:numId w:val="0"/>
        </w:numPr>
        <w:ind w:left="360"/>
      </w:pPr>
    </w:p>
    <w:p w14:paraId="2DD6852B" w14:textId="73CAD7D5" w:rsidR="009C4219" w:rsidRDefault="00F1679B" w:rsidP="009C4219">
      <w:pPr>
        <w:pStyle w:val="ListParagraph"/>
      </w:pPr>
      <w:r>
        <w:t>We will continue to work with MHCLG and local authorities on these reforms.</w:t>
      </w:r>
    </w:p>
    <w:p w14:paraId="19BF86BC" w14:textId="77777777" w:rsidR="009C4219" w:rsidRDefault="009C4219" w:rsidP="009C4219">
      <w:pPr>
        <w:pStyle w:val="ListParagraph"/>
        <w:numPr>
          <w:ilvl w:val="0"/>
          <w:numId w:val="0"/>
        </w:numPr>
        <w:ind w:left="360"/>
      </w:pPr>
    </w:p>
    <w:p w14:paraId="63A0920B" w14:textId="7664EE40" w:rsidR="009C4219" w:rsidRPr="00227306" w:rsidRDefault="009C4219" w:rsidP="009C4219">
      <w:pPr>
        <w:pStyle w:val="ListParagraph"/>
      </w:pPr>
      <w:r>
        <w:t xml:space="preserve">Officers understand from MHCLG that the 100 per cent business rates retention pilots which had ratified devolution deals (Cornwall, Greater Manchester, Liverpool City Region </w:t>
      </w:r>
      <w:r>
        <w:lastRenderedPageBreak/>
        <w:t>West of England, West Midlands)</w:t>
      </w:r>
      <w:r w:rsidR="0012016E">
        <w:t xml:space="preserve"> and were </w:t>
      </w:r>
      <w:r>
        <w:t xml:space="preserve">introduced in 2017/18, will continue in 2020/21.  </w:t>
      </w:r>
      <w:r w:rsidR="0012016E">
        <w:t>T</w:t>
      </w:r>
      <w:r>
        <w:t>he 2019/20 75 per cent business rates</w:t>
      </w:r>
      <w:r w:rsidR="0012016E">
        <w:t xml:space="preserve"> retention </w:t>
      </w:r>
      <w:r>
        <w:t xml:space="preserve"> pilots </w:t>
      </w:r>
      <w:r w:rsidR="0012016E">
        <w:t xml:space="preserve">which were a </w:t>
      </w:r>
      <w:r>
        <w:t>one year exercise will not continue in 2020/21.</w:t>
      </w:r>
    </w:p>
    <w:p w14:paraId="247AE718" w14:textId="77777777" w:rsidR="009C4219" w:rsidRDefault="009C4219" w:rsidP="00D2676B">
      <w:pPr>
        <w:pStyle w:val="ListParagraph"/>
        <w:numPr>
          <w:ilvl w:val="0"/>
          <w:numId w:val="0"/>
        </w:numPr>
        <w:ind w:left="360"/>
      </w:pPr>
    </w:p>
    <w:p w14:paraId="762E8B65" w14:textId="2F9524DE" w:rsidR="00842F7C" w:rsidRPr="00842F7C" w:rsidRDefault="00842F7C" w:rsidP="00521315">
      <w:pPr>
        <w:keepLines/>
        <w:rPr>
          <w:b/>
        </w:rPr>
      </w:pPr>
      <w:r w:rsidRPr="00842F7C">
        <w:rPr>
          <w:b/>
        </w:rPr>
        <w:t>Alternative model of administration of business rates retention</w:t>
      </w:r>
    </w:p>
    <w:p w14:paraId="6E389382" w14:textId="77777777" w:rsidR="00D11CF4" w:rsidRDefault="00D11CF4" w:rsidP="00D11CF4">
      <w:pPr>
        <w:pStyle w:val="ListParagraph"/>
        <w:spacing w:after="0"/>
        <w:rPr>
          <w:rFonts w:cs="Arial"/>
          <w:bCs/>
        </w:rPr>
      </w:pPr>
      <w:r w:rsidRPr="00A52D9C">
        <w:rPr>
          <w:rFonts w:cs="Arial"/>
          <w:bCs/>
        </w:rPr>
        <w:t xml:space="preserve">Discussions with MHCLG </w:t>
      </w:r>
      <w:r>
        <w:rPr>
          <w:rFonts w:cs="Arial"/>
          <w:bCs/>
        </w:rPr>
        <w:t xml:space="preserve">on the development of the alternative administration model of business rates retention </w:t>
      </w:r>
      <w:r w:rsidRPr="00A52D9C">
        <w:rPr>
          <w:rFonts w:cs="Arial"/>
          <w:bCs/>
        </w:rPr>
        <w:t xml:space="preserve">have been </w:t>
      </w:r>
      <w:r>
        <w:rPr>
          <w:rFonts w:cs="Arial"/>
          <w:bCs/>
        </w:rPr>
        <w:t>continuing</w:t>
      </w:r>
      <w:r w:rsidRPr="00A52D9C">
        <w:rPr>
          <w:rFonts w:cs="Arial"/>
          <w:bCs/>
        </w:rPr>
        <w:t xml:space="preserve"> in joint meetings of the Systems Design and Implementation Working Groups.  Papers </w:t>
      </w:r>
      <w:r>
        <w:rPr>
          <w:rFonts w:cs="Arial"/>
          <w:bCs/>
        </w:rPr>
        <w:t xml:space="preserve">from the August meeting of the group </w:t>
      </w:r>
      <w:r w:rsidRPr="00A52D9C">
        <w:rPr>
          <w:rFonts w:cs="Arial"/>
          <w:bCs/>
        </w:rPr>
        <w:t xml:space="preserve">can be found on the </w:t>
      </w:r>
      <w:hyperlink r:id="rId12" w:history="1">
        <w:r w:rsidRPr="00A52D9C">
          <w:rPr>
            <w:rStyle w:val="Hyperlink"/>
            <w:rFonts w:cs="Arial"/>
            <w:bCs/>
          </w:rPr>
          <w:t>LGA website</w:t>
        </w:r>
      </w:hyperlink>
      <w:r w:rsidRPr="00003FA9">
        <w:t xml:space="preserve"> and include:</w:t>
      </w:r>
    </w:p>
    <w:p w14:paraId="0B7FD9F7" w14:textId="77777777" w:rsidR="00D11CF4" w:rsidRPr="00314831" w:rsidRDefault="00D11CF4" w:rsidP="00D11CF4">
      <w:pPr>
        <w:pStyle w:val="ListParagraph"/>
        <w:numPr>
          <w:ilvl w:val="0"/>
          <w:numId w:val="0"/>
        </w:numPr>
        <w:ind w:left="360"/>
        <w:rPr>
          <w:rFonts w:cs="Arial"/>
          <w:bCs/>
        </w:rPr>
      </w:pPr>
    </w:p>
    <w:p w14:paraId="42D99666" w14:textId="4FCF94EC" w:rsidR="00D11CF4" w:rsidRPr="00944FB8" w:rsidRDefault="00D11CF4" w:rsidP="00D11CF4">
      <w:pPr>
        <w:pStyle w:val="ListParagraph"/>
        <w:numPr>
          <w:ilvl w:val="1"/>
          <w:numId w:val="1"/>
        </w:numPr>
        <w:spacing w:after="0"/>
        <w:rPr>
          <w:rFonts w:cs="Arial"/>
          <w:bCs/>
        </w:rPr>
      </w:pPr>
      <w:r>
        <w:t>The impact of a 2021 revaluation</w:t>
      </w:r>
      <w:r w:rsidR="00003FA9">
        <w:t>,</w:t>
      </w:r>
      <w:r>
        <w:t xml:space="preserve"> and once every three years after that</w:t>
      </w:r>
      <w:r w:rsidR="00003FA9">
        <w:t>,</w:t>
      </w:r>
      <w:r>
        <w:t xml:space="preserve"> on the alternative model</w:t>
      </w:r>
      <w:r w:rsidR="005031F2">
        <w:t>.</w:t>
      </w:r>
    </w:p>
    <w:p w14:paraId="306B8D57" w14:textId="77777777" w:rsidR="00D11CF4" w:rsidRPr="009E4537" w:rsidRDefault="00D11CF4" w:rsidP="00D11CF4">
      <w:pPr>
        <w:pStyle w:val="ListParagraph"/>
        <w:numPr>
          <w:ilvl w:val="0"/>
          <w:numId w:val="0"/>
        </w:numPr>
        <w:spacing w:after="0"/>
        <w:ind w:left="907"/>
        <w:rPr>
          <w:rFonts w:cs="Arial"/>
          <w:bCs/>
        </w:rPr>
      </w:pPr>
    </w:p>
    <w:p w14:paraId="291A049E" w14:textId="77777777" w:rsidR="00D11CF4" w:rsidRPr="0096050D" w:rsidRDefault="00D11CF4" w:rsidP="00D11CF4">
      <w:pPr>
        <w:pStyle w:val="ListParagraph"/>
        <w:numPr>
          <w:ilvl w:val="1"/>
          <w:numId w:val="1"/>
        </w:numPr>
        <w:spacing w:after="0"/>
        <w:rPr>
          <w:rFonts w:cs="Arial"/>
          <w:bCs/>
        </w:rPr>
      </w:pPr>
      <w:r>
        <w:rPr>
          <w:rFonts w:cs="Arial"/>
          <w:bCs/>
        </w:rPr>
        <w:t>The relationship between growth and the Collection Fund (the statutory account through which the local authority collects business rates and distributes it to itself, preceptors and the government).</w:t>
      </w:r>
    </w:p>
    <w:p w14:paraId="662FFC36" w14:textId="77777777" w:rsidR="00D11CF4" w:rsidRPr="007D2B34" w:rsidRDefault="00D11CF4" w:rsidP="00D11CF4">
      <w:pPr>
        <w:spacing w:after="0"/>
        <w:ind w:left="0" w:firstLine="0"/>
        <w:rPr>
          <w:rFonts w:cs="Arial"/>
          <w:bCs/>
        </w:rPr>
      </w:pPr>
    </w:p>
    <w:p w14:paraId="3B133959" w14:textId="06FB9D46" w:rsidR="00D11CF4" w:rsidRDefault="00D11CF4" w:rsidP="00D11CF4">
      <w:pPr>
        <w:pStyle w:val="ListParagraph"/>
        <w:numPr>
          <w:ilvl w:val="1"/>
          <w:numId w:val="1"/>
        </w:numPr>
        <w:spacing w:after="0"/>
        <w:rPr>
          <w:rFonts w:cs="Arial"/>
          <w:bCs/>
        </w:rPr>
      </w:pPr>
      <w:r>
        <w:rPr>
          <w:rFonts w:cs="Arial"/>
          <w:bCs/>
        </w:rPr>
        <w:t>How to adjust for business rate reliefs in the alternative model if VOA data is used to set the business rate baseline.</w:t>
      </w:r>
    </w:p>
    <w:p w14:paraId="675A1C46" w14:textId="77777777" w:rsidR="00D2676B" w:rsidRPr="005160EE" w:rsidRDefault="00D2676B" w:rsidP="006E4E3C">
      <w:pPr>
        <w:pStyle w:val="ListParagraph"/>
        <w:numPr>
          <w:ilvl w:val="0"/>
          <w:numId w:val="0"/>
        </w:numPr>
        <w:spacing w:after="0"/>
        <w:ind w:left="907"/>
        <w:rPr>
          <w:rFonts w:cs="Arial"/>
          <w:bCs/>
        </w:rPr>
      </w:pPr>
    </w:p>
    <w:p w14:paraId="47EBDA96" w14:textId="7EAC30E8" w:rsidR="00842F7C" w:rsidRPr="00842F7C" w:rsidRDefault="00842F7C" w:rsidP="002F2D1E">
      <w:pPr>
        <w:keepNext/>
        <w:keepLines/>
        <w:ind w:left="0" w:firstLine="0"/>
        <w:rPr>
          <w:b/>
        </w:rPr>
      </w:pPr>
      <w:r>
        <w:rPr>
          <w:b/>
        </w:rPr>
        <w:t>Review of relative needs and resources</w:t>
      </w:r>
    </w:p>
    <w:p w14:paraId="3777DF3B" w14:textId="150021C0" w:rsidR="00D11CF4" w:rsidRDefault="00BE6E26" w:rsidP="00842F7C">
      <w:pPr>
        <w:pStyle w:val="ListParagraph"/>
      </w:pPr>
      <w:r>
        <w:t>There have been n</w:t>
      </w:r>
      <w:r w:rsidR="00D11CF4">
        <w:t>o meetings of the Business Rates Re</w:t>
      </w:r>
      <w:r w:rsidR="000A7829">
        <w:t>tention Steering Group, or the T</w:t>
      </w:r>
      <w:r w:rsidR="00D11CF4">
        <w:t xml:space="preserve">echnical </w:t>
      </w:r>
      <w:r w:rsidR="000A7829">
        <w:t>W</w:t>
      </w:r>
      <w:r w:rsidR="00D11CF4">
        <w:t xml:space="preserve">orking </w:t>
      </w:r>
      <w:r w:rsidR="000A7829">
        <w:t>G</w:t>
      </w:r>
      <w:r w:rsidR="00D11CF4">
        <w:t xml:space="preserve">roup on </w:t>
      </w:r>
      <w:r w:rsidR="000A7829">
        <w:t>Needs and R</w:t>
      </w:r>
      <w:r w:rsidR="00D11CF4">
        <w:t>edistribution, since the July 2019 meeting</w:t>
      </w:r>
      <w:r>
        <w:t>s</w:t>
      </w:r>
      <w:r w:rsidR="00D11CF4">
        <w:t xml:space="preserve"> of </w:t>
      </w:r>
      <w:r w:rsidR="00D11CF4" w:rsidRPr="00BE6E26">
        <w:t xml:space="preserve">LGA Leadership Board </w:t>
      </w:r>
      <w:r w:rsidRPr="00BE6E26">
        <w:t>and</w:t>
      </w:r>
      <w:r w:rsidR="00D11CF4" w:rsidRPr="00BE6E26">
        <w:t xml:space="preserve"> Executive</w:t>
      </w:r>
      <w:r w:rsidR="00003FA9" w:rsidRPr="00BE6E26">
        <w:t>.</w:t>
      </w:r>
    </w:p>
    <w:p w14:paraId="374FB29C" w14:textId="77777777" w:rsidR="00D11CF4" w:rsidRDefault="00D11CF4" w:rsidP="00454C45">
      <w:pPr>
        <w:pStyle w:val="ListParagraph"/>
        <w:numPr>
          <w:ilvl w:val="0"/>
          <w:numId w:val="0"/>
        </w:numPr>
        <w:ind w:left="360"/>
      </w:pPr>
    </w:p>
    <w:p w14:paraId="4B55A223" w14:textId="400D35D8" w:rsidR="00227306" w:rsidRDefault="00D11CF4" w:rsidP="00003FA9">
      <w:pPr>
        <w:pStyle w:val="ListParagraph"/>
      </w:pPr>
      <w:r>
        <w:t>At the last meeting</w:t>
      </w:r>
      <w:r w:rsidR="000A7829">
        <w:t>s</w:t>
      </w:r>
      <w:r>
        <w:t xml:space="preserve"> of Leadership Board and Executive we reported that the Government has been working on new Area Cost Adjustment (ACA) factors</w:t>
      </w:r>
      <w:r w:rsidR="00842F7C">
        <w:t xml:space="preserve"> </w:t>
      </w:r>
      <w:r>
        <w:t xml:space="preserve">which are intended to compensate authorities for the additional costs of delivering services in some areas.  In the past these </w:t>
      </w:r>
      <w:r w:rsidR="00003FA9">
        <w:t xml:space="preserve">additional costs </w:t>
      </w:r>
      <w:r>
        <w:t>have related to salary and business rates costs.</w:t>
      </w:r>
      <w:r w:rsidR="00003FA9">
        <w:t xml:space="preserve">  </w:t>
      </w:r>
      <w:r>
        <w:t>Going forward,</w:t>
      </w:r>
      <w:r w:rsidR="00227306">
        <w:t xml:space="preserve"> </w:t>
      </w:r>
      <w:r>
        <w:t>t</w:t>
      </w:r>
      <w:r w:rsidR="00227306">
        <w:t xml:space="preserve">he refreshed ACAs will </w:t>
      </w:r>
      <w:r w:rsidR="000A7829">
        <w:t xml:space="preserve">also </w:t>
      </w:r>
      <w:r w:rsidR="00227306">
        <w:t xml:space="preserve">be the primary way the Government </w:t>
      </w:r>
      <w:r w:rsidR="00003FA9">
        <w:t>will try</w:t>
      </w:r>
      <w:r w:rsidR="00227306">
        <w:t xml:space="preserve"> to reflect </w:t>
      </w:r>
      <w:r w:rsidR="00003FA9">
        <w:t>the</w:t>
      </w:r>
      <w:r w:rsidR="00227306">
        <w:t xml:space="preserve"> sparsity and density of local areas, particularly through journey time measurements and measurements of distance of postcodes from major town hubs.</w:t>
      </w:r>
    </w:p>
    <w:p w14:paraId="5EC74FFD" w14:textId="77777777" w:rsidR="00227306" w:rsidRDefault="00227306" w:rsidP="00003FA9">
      <w:pPr>
        <w:pStyle w:val="ListParagraph"/>
        <w:keepLines/>
        <w:numPr>
          <w:ilvl w:val="0"/>
          <w:numId w:val="0"/>
        </w:numPr>
        <w:tabs>
          <w:tab w:val="left" w:pos="4005"/>
        </w:tabs>
        <w:ind w:left="360"/>
      </w:pPr>
    </w:p>
    <w:p w14:paraId="276FB157" w14:textId="5CD636F4" w:rsidR="004A227C" w:rsidRPr="000A7829" w:rsidRDefault="00227306" w:rsidP="00676040">
      <w:pPr>
        <w:pStyle w:val="ListParagraph"/>
        <w:keepLines/>
      </w:pPr>
      <w:r>
        <w:t xml:space="preserve">A detailed paper </w:t>
      </w:r>
      <w:r w:rsidR="00003FA9">
        <w:t xml:space="preserve">on the Government’s work on ACAs </w:t>
      </w:r>
      <w:r>
        <w:t xml:space="preserve">was discussed with the </w:t>
      </w:r>
      <w:r w:rsidR="00BE6E26">
        <w:t xml:space="preserve">LGA’s </w:t>
      </w:r>
      <w:r>
        <w:t xml:space="preserve">Task and Finish Group </w:t>
      </w:r>
      <w:r w:rsidR="00BE6E26">
        <w:t>on Business Rates Retention and the Fair Funding Review at</w:t>
      </w:r>
      <w:r>
        <w:t xml:space="preserve"> its July meeting. Members </w:t>
      </w:r>
      <w:r w:rsidR="00A54B7B">
        <w:t xml:space="preserve">of the Task and Finish Group </w:t>
      </w:r>
      <w:r>
        <w:t xml:space="preserve">requested some additional analysis. Following this step, a full update will be provided to </w:t>
      </w:r>
      <w:r w:rsidR="00230BAC">
        <w:t>future meeting</w:t>
      </w:r>
      <w:r w:rsidR="000A7829">
        <w:t xml:space="preserve">s of </w:t>
      </w:r>
      <w:r w:rsidRPr="000A7829">
        <w:t xml:space="preserve">Leadership Board </w:t>
      </w:r>
      <w:r w:rsidR="000A7829" w:rsidRPr="000A7829">
        <w:t>and</w:t>
      </w:r>
      <w:r w:rsidRPr="000A7829">
        <w:t xml:space="preserve"> Executive</w:t>
      </w:r>
      <w:r w:rsidR="00230BAC" w:rsidRPr="000A7829">
        <w:t>.</w:t>
      </w:r>
    </w:p>
    <w:p w14:paraId="573CB51C" w14:textId="77777777" w:rsidR="00BD72C8" w:rsidRDefault="00BD72C8" w:rsidP="00BD72C8">
      <w:pPr>
        <w:pStyle w:val="ListParagraph"/>
        <w:numPr>
          <w:ilvl w:val="0"/>
          <w:numId w:val="0"/>
        </w:numPr>
        <w:ind w:left="357"/>
      </w:pPr>
    </w:p>
    <w:p w14:paraId="6370EAF3" w14:textId="77777777" w:rsidR="008427D6" w:rsidRDefault="008427D6" w:rsidP="00BD72C8">
      <w:pPr>
        <w:pStyle w:val="ListParagraph"/>
        <w:numPr>
          <w:ilvl w:val="0"/>
          <w:numId w:val="0"/>
        </w:numPr>
        <w:ind w:left="357"/>
      </w:pPr>
    </w:p>
    <w:p w14:paraId="7DF2685B" w14:textId="77777777" w:rsidR="008427D6" w:rsidRDefault="008427D6" w:rsidP="00BD72C8">
      <w:pPr>
        <w:pStyle w:val="ListParagraph"/>
        <w:numPr>
          <w:ilvl w:val="0"/>
          <w:numId w:val="0"/>
        </w:numPr>
        <w:ind w:left="357"/>
      </w:pPr>
    </w:p>
    <w:p w14:paraId="579A6378" w14:textId="77777777" w:rsidR="008427D6" w:rsidRDefault="008427D6" w:rsidP="00BD72C8">
      <w:pPr>
        <w:pStyle w:val="ListParagraph"/>
        <w:numPr>
          <w:ilvl w:val="0"/>
          <w:numId w:val="0"/>
        </w:numPr>
        <w:ind w:left="357"/>
      </w:pPr>
    </w:p>
    <w:p w14:paraId="58E6C889" w14:textId="77777777" w:rsidR="008427D6" w:rsidRDefault="008427D6" w:rsidP="00BD72C8">
      <w:pPr>
        <w:pStyle w:val="ListParagraph"/>
        <w:numPr>
          <w:ilvl w:val="0"/>
          <w:numId w:val="0"/>
        </w:numPr>
        <w:ind w:left="357"/>
      </w:pPr>
      <w:bookmarkStart w:id="1" w:name="_GoBack"/>
      <w:bookmarkEnd w:id="1"/>
    </w:p>
    <w:p w14:paraId="5A5EC542" w14:textId="64288277" w:rsidR="00662A6E" w:rsidRPr="00C803F3" w:rsidRDefault="008427D6" w:rsidP="00BC4B89">
      <w:pPr>
        <w:ind w:left="0" w:firstLine="0"/>
        <w:rPr>
          <w:rStyle w:val="ReportTemplate"/>
        </w:rPr>
      </w:pPr>
      <w:sdt>
        <w:sdtPr>
          <w:rPr>
            <w:rStyle w:val="Style6"/>
          </w:rPr>
          <w:alias w:val="Issues"/>
          <w:tag w:val="Issues"/>
          <w:id w:val="-1347009662"/>
          <w:placeholder>
            <w:docPart w:val="1EBEC3FFA8F544389D7DAD4783DBD3B3"/>
          </w:placeholder>
        </w:sdtPr>
        <w:sdtEndPr>
          <w:rPr>
            <w:rStyle w:val="Style6"/>
          </w:rPr>
        </w:sdtEndPr>
        <w:sdtContent>
          <w:r w:rsidR="00662A6E">
            <w:rPr>
              <w:rStyle w:val="Style6"/>
            </w:rPr>
            <w:t>Next steps</w:t>
          </w:r>
        </w:sdtContent>
      </w:sdt>
    </w:p>
    <w:p w14:paraId="706D96F9" w14:textId="2D6AE74F" w:rsidR="00345CD6" w:rsidRDefault="00A14F6C" w:rsidP="002D5E8B">
      <w:pPr>
        <w:pStyle w:val="ListParagraph"/>
      </w:pPr>
      <w:r>
        <w:t xml:space="preserve">Members </w:t>
      </w:r>
      <w:r w:rsidR="00345CD6">
        <w:t>are asked to</w:t>
      </w:r>
      <w:r w:rsidR="00345CD6" w:rsidRPr="00375564">
        <w:t xml:space="preserve"> </w:t>
      </w:r>
      <w:r w:rsidR="00803C4B">
        <w:t xml:space="preserve">note this update paper. </w:t>
      </w:r>
    </w:p>
    <w:p w14:paraId="54326C20" w14:textId="77777777" w:rsidR="00803C4B" w:rsidRDefault="00803C4B" w:rsidP="00803C4B">
      <w:pPr>
        <w:pStyle w:val="ListParagraph"/>
        <w:numPr>
          <w:ilvl w:val="0"/>
          <w:numId w:val="0"/>
        </w:numPr>
        <w:ind w:left="360"/>
      </w:pPr>
    </w:p>
    <w:p w14:paraId="6AA369EF" w14:textId="7F40022D" w:rsidR="00E3524A" w:rsidRPr="00DB7A64" w:rsidRDefault="00E3524A" w:rsidP="002D5E8B">
      <w:pPr>
        <w:pStyle w:val="ListParagraph"/>
        <w:keepLines/>
      </w:pPr>
      <w:r w:rsidRPr="00DB7A64">
        <w:t xml:space="preserve">Officers </w:t>
      </w:r>
      <w:r>
        <w:t>will</w:t>
      </w:r>
      <w:r w:rsidRPr="00DB7A64">
        <w:t xml:space="preserve"> proceed with </w:t>
      </w:r>
      <w:r w:rsidR="00752C93">
        <w:t xml:space="preserve">the </w:t>
      </w:r>
      <w:r w:rsidRPr="00DB7A64">
        <w:t>delivery of the LGA work programme on Business Rates Retention and the Fair Funding Review as directed by the LGA Leadership Board, Executive and the Business Rates Retention and Fair Funding Review Task and Finish Group.</w:t>
      </w:r>
    </w:p>
    <w:p w14:paraId="672873CE" w14:textId="77777777" w:rsidR="00E3524A" w:rsidRPr="004E7363" w:rsidRDefault="00E3524A" w:rsidP="00AF1FDD">
      <w:pPr>
        <w:keepNext/>
        <w:keepLines/>
        <w:spacing w:after="240"/>
        <w:jc w:val="both"/>
        <w:rPr>
          <w:rFonts w:eastAsia="Arial" w:cs="Arial"/>
          <w:b/>
          <w:bCs/>
        </w:rPr>
      </w:pPr>
      <w:r w:rsidRPr="004E7363">
        <w:rPr>
          <w:rFonts w:cs="Arial"/>
          <w:b/>
          <w:bCs/>
        </w:rPr>
        <w:t>Implications for Wales</w:t>
      </w:r>
    </w:p>
    <w:p w14:paraId="15EF91F6" w14:textId="1EC2D6EE" w:rsidR="00E3524A" w:rsidRPr="00DB7A64" w:rsidRDefault="00E3524A" w:rsidP="002D5E8B">
      <w:pPr>
        <w:pStyle w:val="ListParagraph"/>
        <w:keepLines/>
      </w:pPr>
      <w:r w:rsidRPr="004E7363">
        <w:t>Local government fu</w:t>
      </w:r>
      <w:r>
        <w:t>nding is a devolved matter and b</w:t>
      </w:r>
      <w:r w:rsidRPr="004E7363">
        <w:t xml:space="preserve">usiness </w:t>
      </w:r>
      <w:r>
        <w:t>r</w:t>
      </w:r>
      <w:r w:rsidRPr="004E7363">
        <w:t xml:space="preserve">ates </w:t>
      </w:r>
      <w:r>
        <w:t>r</w:t>
      </w:r>
      <w:r w:rsidRPr="004E7363">
        <w:t xml:space="preserve">etention and the Fair Funding Review </w:t>
      </w:r>
      <w:r>
        <w:t xml:space="preserve">policies </w:t>
      </w:r>
      <w:r w:rsidRPr="004E7363">
        <w:t>are limit</w:t>
      </w:r>
      <w:r w:rsidR="00334A36">
        <w:t>ed to English local authorities.</w:t>
      </w:r>
    </w:p>
    <w:p w14:paraId="5837A1C2" w14:textId="5EB8BCF7" w:rsidR="009B6F95" w:rsidRPr="009B1AA8" w:rsidRDefault="008427D6" w:rsidP="00A17BEB">
      <w:pPr>
        <w:keepNext/>
        <w:keepLines/>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0512B2FD" w:rsidR="009B6F95" w:rsidRPr="00E820E8" w:rsidRDefault="00662A6E" w:rsidP="002D5E8B">
      <w:pPr>
        <w:pStyle w:val="ListParagraph"/>
        <w:keepLines/>
        <w:rPr>
          <w:rFonts w:cs="Arial"/>
          <w:bCs/>
        </w:rPr>
      </w:pPr>
      <w:r w:rsidRPr="00E820E8">
        <w:rPr>
          <w:rFonts w:cs="Arial"/>
          <w:bCs/>
        </w:rPr>
        <w:t>This is part of the LGA’s core programme of work and as such has been budgeted for in core work programme budgets.</w:t>
      </w:r>
    </w:p>
    <w:p w14:paraId="5837A1C8" w14:textId="59870653" w:rsidR="00861A49" w:rsidRDefault="00861A49">
      <w:pPr>
        <w:spacing w:line="259" w:lineRule="auto"/>
        <w:ind w:left="0" w:firstLine="0"/>
      </w:pPr>
      <w:r>
        <w:br w:type="page"/>
      </w:r>
    </w:p>
    <w:p w14:paraId="4200A605" w14:textId="77777777" w:rsidR="00A14F6C" w:rsidRPr="00780054" w:rsidRDefault="00A14F6C" w:rsidP="00534475">
      <w:pPr>
        <w:ind w:left="0" w:firstLine="0"/>
        <w:contextualSpacing/>
        <w:jc w:val="both"/>
        <w:rPr>
          <w:rFonts w:cs="Arial"/>
          <w:b/>
        </w:rPr>
      </w:pPr>
      <w:r w:rsidRPr="00780054">
        <w:rPr>
          <w:rFonts w:cs="Arial"/>
          <w:b/>
        </w:rPr>
        <w:lastRenderedPageBreak/>
        <w:t xml:space="preserve">Appendix </w:t>
      </w:r>
      <w:r>
        <w:rPr>
          <w:rFonts w:cs="Arial"/>
          <w:b/>
        </w:rPr>
        <w:t>A</w:t>
      </w:r>
      <w:r w:rsidRPr="00780054">
        <w:rPr>
          <w:rFonts w:cs="Arial"/>
          <w:b/>
        </w:rPr>
        <w:t>. High-level progress update on the LGA Fair Funding Review and Business Rates Retention work programme</w:t>
      </w:r>
    </w:p>
    <w:p w14:paraId="2DEDEC87" w14:textId="77777777" w:rsidR="00A14F6C" w:rsidRPr="00780054" w:rsidRDefault="00A14F6C" w:rsidP="00A14F6C">
      <w:pPr>
        <w:ind w:firstLine="0"/>
        <w:contextualSpacing/>
        <w:jc w:val="both"/>
        <w:rPr>
          <w:rFonts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6520"/>
        <w:gridCol w:w="1701"/>
      </w:tblGrid>
      <w:tr w:rsidR="00A14F6C" w:rsidRPr="002E0D27" w14:paraId="0F99B5D8" w14:textId="77777777" w:rsidTr="00345CD6">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B97C14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Project</w:t>
            </w:r>
          </w:p>
        </w:tc>
        <w:tc>
          <w:tcPr>
            <w:tcW w:w="652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7DF5AA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Purpose and description</w:t>
            </w:r>
          </w:p>
        </w:tc>
        <w:tc>
          <w:tcPr>
            <w:tcW w:w="170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EA65F10"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Quick update</w:t>
            </w:r>
          </w:p>
        </w:tc>
      </w:tr>
      <w:tr w:rsidR="00A14F6C" w:rsidRPr="002E0D27" w14:paraId="1D1D8E04"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1C875"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Criteria for assessing proposed distribution models and methodologies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6ED3F1B0"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give the LGA a structured and consistent way to assess new distribution models.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3EBEE30" w14:textId="77777777" w:rsidR="00A14F6C" w:rsidRPr="002E0D27" w:rsidRDefault="008427D6" w:rsidP="00A14F6C">
            <w:pPr>
              <w:spacing w:after="0"/>
              <w:ind w:left="0" w:firstLine="0"/>
              <w:contextualSpacing/>
              <w:rPr>
                <w:rFonts w:cs="Arial"/>
                <w:sz w:val="20"/>
                <w:szCs w:val="20"/>
              </w:rPr>
            </w:pPr>
            <w:hyperlink r:id="rId13" w:history="1">
              <w:r w:rsidR="00A14F6C" w:rsidRPr="002E0D27">
                <w:rPr>
                  <w:rStyle w:val="Hyperlink"/>
                  <w:rFonts w:cs="Arial"/>
                  <w:sz w:val="20"/>
                  <w:szCs w:val="20"/>
                </w:rPr>
                <w:t>Complete</w:t>
              </w:r>
            </w:hyperlink>
          </w:p>
        </w:tc>
      </w:tr>
      <w:tr w:rsidR="00A14F6C" w:rsidRPr="002E0D27" w14:paraId="3329863C"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DFC7C"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Formula grant: update the data</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14:paraId="0C2BCA09"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06F27C76" w14:textId="77777777" w:rsidR="00A14F6C" w:rsidRPr="002E0D27" w:rsidRDefault="00A14F6C" w:rsidP="00A14F6C">
            <w:pPr>
              <w:spacing w:after="0"/>
              <w:ind w:left="0" w:firstLine="0"/>
              <w:contextualSpacing/>
              <w:rPr>
                <w:rFonts w:cs="Arial"/>
                <w:sz w:val="20"/>
                <w:szCs w:val="20"/>
              </w:rPr>
            </w:pPr>
          </w:p>
          <w:p w14:paraId="1F9D6F65"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help the LGA and member authorities form policy on the data used in the formulae and the frequency of distribution resets, or other ways to ‘future proof’ the mechanism.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5C735D4" w14:textId="77777777" w:rsidR="00A14F6C" w:rsidRPr="002E0D27" w:rsidRDefault="008427D6" w:rsidP="00A14F6C">
            <w:pPr>
              <w:spacing w:after="0"/>
              <w:ind w:left="0" w:firstLine="0"/>
              <w:contextualSpacing/>
              <w:rPr>
                <w:rFonts w:cs="Arial"/>
                <w:sz w:val="20"/>
                <w:szCs w:val="20"/>
              </w:rPr>
            </w:pPr>
            <w:hyperlink r:id="rId14" w:history="1">
              <w:r w:rsidR="00A14F6C" w:rsidRPr="002E0D27">
                <w:rPr>
                  <w:rStyle w:val="Hyperlink"/>
                  <w:rFonts w:cs="Arial"/>
                  <w:sz w:val="20"/>
                  <w:szCs w:val="20"/>
                </w:rPr>
                <w:t>Complete</w:t>
              </w:r>
            </w:hyperlink>
          </w:p>
          <w:p w14:paraId="7668F26F" w14:textId="77777777" w:rsidR="00A14F6C" w:rsidRPr="002E0D27" w:rsidRDefault="00A14F6C" w:rsidP="00A14F6C">
            <w:pPr>
              <w:spacing w:after="0"/>
              <w:ind w:left="0" w:firstLine="0"/>
              <w:contextualSpacing/>
              <w:rPr>
                <w:rFonts w:cs="Arial"/>
                <w:sz w:val="20"/>
                <w:szCs w:val="20"/>
              </w:rPr>
            </w:pPr>
          </w:p>
        </w:tc>
      </w:tr>
      <w:tr w:rsidR="00A14F6C" w:rsidRPr="002E0D27" w14:paraId="6FAFFF31"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F73A7"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Distribution model: develop a distribution model</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14:paraId="7AD4AEEC"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C478B18" w14:textId="77777777" w:rsidR="00A14F6C" w:rsidRPr="002E0D27" w:rsidRDefault="008427D6" w:rsidP="00A14F6C">
            <w:pPr>
              <w:spacing w:after="0"/>
              <w:ind w:left="0" w:firstLine="0"/>
              <w:contextualSpacing/>
              <w:rPr>
                <w:rFonts w:cs="Arial"/>
                <w:sz w:val="20"/>
                <w:szCs w:val="20"/>
              </w:rPr>
            </w:pPr>
            <w:hyperlink r:id="rId15" w:history="1">
              <w:r w:rsidR="00A14F6C" w:rsidRPr="002E0D27">
                <w:rPr>
                  <w:rStyle w:val="Hyperlink"/>
                  <w:rFonts w:cs="Arial"/>
                  <w:sz w:val="20"/>
                  <w:szCs w:val="20"/>
                </w:rPr>
                <w:t>Complete</w:t>
              </w:r>
            </w:hyperlink>
          </w:p>
        </w:tc>
      </w:tr>
      <w:tr w:rsidR="00A14F6C" w:rsidRPr="002E0D27" w14:paraId="7C516B51"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DF515"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Council tax equalisation: develop a model</w:t>
            </w:r>
          </w:p>
          <w:p w14:paraId="57101140" w14:textId="77777777" w:rsidR="00A14F6C" w:rsidRPr="002E0D27" w:rsidRDefault="00A14F6C" w:rsidP="00A14F6C">
            <w:pPr>
              <w:spacing w:after="0"/>
              <w:ind w:left="0" w:firstLine="0"/>
              <w:contextualSpacing/>
              <w:rPr>
                <w:rFonts w:cs="Arial"/>
                <w:b/>
                <w:sz w:val="20"/>
                <w:szCs w:val="20"/>
              </w:rPr>
            </w:pP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1E72B04D"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identify the impact of adjustments for council tax and council tax support on individual authorities.</w:t>
            </w:r>
          </w:p>
          <w:p w14:paraId="30E22A9A"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 xml:space="preserve">To inform LGA policy and to help individual member councils evaluate Government proposals.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F892B5C" w14:textId="77777777" w:rsidR="00A14F6C" w:rsidRPr="002E0D27" w:rsidRDefault="008427D6" w:rsidP="00A14F6C">
            <w:pPr>
              <w:spacing w:after="0"/>
              <w:ind w:left="0" w:firstLine="0"/>
              <w:contextualSpacing/>
              <w:rPr>
                <w:rFonts w:cs="Arial"/>
                <w:sz w:val="20"/>
                <w:szCs w:val="20"/>
              </w:rPr>
            </w:pPr>
            <w:hyperlink r:id="rId16" w:history="1">
              <w:r w:rsidR="00A14F6C" w:rsidRPr="002E0D27">
                <w:rPr>
                  <w:rStyle w:val="Hyperlink"/>
                  <w:rFonts w:cs="Arial"/>
                  <w:sz w:val="20"/>
                  <w:szCs w:val="20"/>
                </w:rPr>
                <w:t>Complete</w:t>
              </w:r>
            </w:hyperlink>
          </w:p>
        </w:tc>
      </w:tr>
      <w:tr w:rsidR="00A14F6C" w:rsidRPr="002E0D27" w14:paraId="329DE169" w14:textId="77777777" w:rsidTr="00345CD6">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A8F0F37"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Damping</w:t>
            </w:r>
          </w:p>
          <w:p w14:paraId="3D479682"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/transition mechanisms </w:t>
            </w:r>
          </w:p>
        </w:tc>
        <w:tc>
          <w:tcPr>
            <w:tcW w:w="652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E65D7C8"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An analysis of historic damping / transition mechanisms and a model to inform discussions on the guiding principles of transition. To inform LGA and member authorities’ policy.</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4141CB4" w14:textId="77777777" w:rsidR="00A14F6C" w:rsidRPr="002E0D27" w:rsidRDefault="008427D6" w:rsidP="00A14F6C">
            <w:pPr>
              <w:spacing w:after="0"/>
              <w:ind w:left="0" w:firstLine="0"/>
              <w:contextualSpacing/>
              <w:rPr>
                <w:rFonts w:cs="Arial"/>
                <w:sz w:val="20"/>
                <w:szCs w:val="20"/>
              </w:rPr>
            </w:pPr>
            <w:hyperlink r:id="rId17" w:history="1">
              <w:r w:rsidR="00A14F6C" w:rsidRPr="002E0D27">
                <w:rPr>
                  <w:rStyle w:val="Hyperlink"/>
                  <w:rFonts w:cs="Arial"/>
                  <w:sz w:val="20"/>
                  <w:szCs w:val="20"/>
                </w:rPr>
                <w:t>Complete</w:t>
              </w:r>
            </w:hyperlink>
          </w:p>
        </w:tc>
      </w:tr>
      <w:tr w:rsidR="00A14F6C" w:rsidRPr="002E0D27" w14:paraId="76F4D76C" w14:textId="77777777" w:rsidTr="00345CD6">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DDD3F93"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Business Rates Retention model</w:t>
            </w:r>
          </w:p>
        </w:tc>
        <w:tc>
          <w:tcPr>
            <w:tcW w:w="65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DCE0B6"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system design choices in areas including:</w:t>
            </w:r>
          </w:p>
          <w:p w14:paraId="43A59F2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setting of business rates baselines;</w:t>
            </w:r>
          </w:p>
          <w:p w14:paraId="43D675E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extent and frequency of business rates resets;</w:t>
            </w:r>
          </w:p>
          <w:p w14:paraId="1574F7C2"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Dealing with losses due to appeals;</w:t>
            </w:r>
          </w:p>
          <w:p w14:paraId="435177BC"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level of the safety net and how it is funded; and</w:t>
            </w:r>
          </w:p>
          <w:p w14:paraId="276B5239"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split of business rates income in two-tier areas.</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E0FE6" w14:textId="77777777" w:rsidR="00A14F6C" w:rsidRPr="002E0D27" w:rsidRDefault="008427D6" w:rsidP="00A14F6C">
            <w:pPr>
              <w:spacing w:after="0"/>
              <w:ind w:left="0" w:firstLine="0"/>
              <w:contextualSpacing/>
              <w:rPr>
                <w:rFonts w:cs="Arial"/>
                <w:color w:val="0000FF"/>
                <w:sz w:val="20"/>
                <w:szCs w:val="20"/>
                <w:u w:val="single"/>
              </w:rPr>
            </w:pPr>
            <w:hyperlink r:id="rId18" w:history="1">
              <w:r w:rsidR="00A14F6C" w:rsidRPr="002E0D27">
                <w:rPr>
                  <w:rStyle w:val="Hyperlink"/>
                  <w:rFonts w:cs="Arial"/>
                  <w:sz w:val="20"/>
                  <w:szCs w:val="20"/>
                </w:rPr>
                <w:t>Complete</w:t>
              </w:r>
            </w:hyperlink>
          </w:p>
        </w:tc>
      </w:tr>
      <w:tr w:rsidR="00A14F6C" w:rsidRPr="002E0D27" w14:paraId="03E2F7E2" w14:textId="77777777" w:rsidTr="00345CD6">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F94784"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Alternative Administration Model of Business Rates Retention</w:t>
            </w:r>
          </w:p>
        </w:tc>
        <w:tc>
          <w:tcPr>
            <w:tcW w:w="65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96167"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the alternative administration of Business Rates Retention.</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5A8D13" w14:textId="6D6FC043" w:rsidR="00A14F6C" w:rsidRPr="002E0D27" w:rsidRDefault="0084299F" w:rsidP="009E2624">
            <w:pPr>
              <w:spacing w:after="0"/>
              <w:ind w:left="0" w:firstLine="0"/>
              <w:contextualSpacing/>
              <w:rPr>
                <w:rFonts w:cs="Arial"/>
                <w:sz w:val="20"/>
                <w:szCs w:val="20"/>
                <w:highlight w:val="yellow"/>
              </w:rPr>
            </w:pPr>
            <w:r>
              <w:rPr>
                <w:rFonts w:cs="Arial"/>
                <w:sz w:val="20"/>
                <w:szCs w:val="20"/>
              </w:rPr>
              <w:t>To be published shortly</w:t>
            </w:r>
          </w:p>
        </w:tc>
      </w:tr>
    </w:tbl>
    <w:p w14:paraId="4A968B62" w14:textId="334A2DF0" w:rsidR="001E44A0" w:rsidRDefault="001E44A0" w:rsidP="00842F7C">
      <w:pPr>
        <w:ind w:left="0" w:firstLine="0"/>
        <w:contextualSpacing/>
        <w:jc w:val="both"/>
        <w:rPr>
          <w:rFonts w:cs="Arial"/>
          <w:b/>
          <w:bCs/>
        </w:rPr>
      </w:pPr>
    </w:p>
    <w:sectPr w:rsidR="001E44A0" w:rsidSect="008427D6">
      <w:headerReference w:type="default" r:id="rId19"/>
      <w:footerReference w:type="default" r:id="rId20"/>
      <w:pgSz w:w="11906" w:h="16838"/>
      <w:pgMar w:top="1440" w:right="1440" w:bottom="1440" w:left="1440" w:header="708" w:footer="108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0E64B" w16cid:durableId="210543B1"/>
  <w16cid:commentId w16cid:paraId="6E695F75" w16cid:durableId="210543B2"/>
  <w16cid:commentId w16cid:paraId="7A51666F" w16cid:durableId="21017BF6"/>
  <w16cid:commentId w16cid:paraId="7F63C0BC" w16cid:durableId="210543B4"/>
  <w16cid:commentId w16cid:paraId="076591C6" w16cid:durableId="21017B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444C" w14:textId="77777777" w:rsidR="00136782" w:rsidRPr="00C803F3" w:rsidRDefault="00136782" w:rsidP="00C803F3">
      <w:r>
        <w:separator/>
      </w:r>
    </w:p>
  </w:endnote>
  <w:endnote w:type="continuationSeparator" w:id="0">
    <w:p w14:paraId="11A4DBB0" w14:textId="77777777" w:rsidR="00136782" w:rsidRPr="00C803F3" w:rsidRDefault="00136782" w:rsidP="00C803F3">
      <w:r>
        <w:continuationSeparator/>
      </w:r>
    </w:p>
  </w:endnote>
  <w:endnote w:type="continuationNotice" w:id="1">
    <w:p w14:paraId="3DAC46BC" w14:textId="77777777" w:rsidR="00136782" w:rsidRDefault="00136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Raavi"/>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136782" w:rsidRPr="003219CC" w:rsidRDefault="00136782"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63329" w14:textId="77777777" w:rsidR="00136782" w:rsidRPr="00C803F3" w:rsidRDefault="00136782" w:rsidP="00C803F3">
      <w:r>
        <w:separator/>
      </w:r>
    </w:p>
  </w:footnote>
  <w:footnote w:type="continuationSeparator" w:id="0">
    <w:p w14:paraId="0E09F3DF" w14:textId="77777777" w:rsidR="00136782" w:rsidRPr="00C803F3" w:rsidRDefault="00136782" w:rsidP="00C803F3">
      <w:r>
        <w:continuationSeparator/>
      </w:r>
    </w:p>
  </w:footnote>
  <w:footnote w:type="continuationNotice" w:id="1">
    <w:p w14:paraId="7DF2E4EF" w14:textId="77777777" w:rsidR="00136782" w:rsidRDefault="001367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136782" w:rsidRDefault="00136782">
    <w:pPr>
      <w:pStyle w:val="Header"/>
    </w:pPr>
  </w:p>
  <w:tbl>
    <w:tblPr>
      <w:tblW w:w="9781" w:type="dxa"/>
      <w:tblLook w:val="01E0" w:firstRow="1" w:lastRow="1" w:firstColumn="1" w:lastColumn="1" w:noHBand="0" w:noVBand="0"/>
    </w:tblPr>
    <w:tblGrid>
      <w:gridCol w:w="5812"/>
      <w:gridCol w:w="3259"/>
      <w:gridCol w:w="710"/>
    </w:tblGrid>
    <w:tr w:rsidR="002C2DBE" w14:paraId="7EC1316A" w14:textId="77777777" w:rsidTr="002C2DBE">
      <w:tc>
        <w:tcPr>
          <w:tcW w:w="5812" w:type="dxa"/>
          <w:vMerge w:val="restart"/>
          <w:hideMark/>
        </w:tcPr>
        <w:p w14:paraId="258AF524" w14:textId="7994CCA4" w:rsidR="002C2DBE" w:rsidRDefault="002C2DBE" w:rsidP="002C2DBE">
          <w:pPr>
            <w:pStyle w:val="Header"/>
            <w:tabs>
              <w:tab w:val="center" w:pos="2923"/>
            </w:tabs>
            <w:spacing w:line="254" w:lineRule="auto"/>
            <w:rPr>
              <w:rFonts w:ascii="Frutiger 45 Light" w:eastAsia="Times New Roman" w:hAnsi="Frutiger 45 Light"/>
            </w:rPr>
          </w:pPr>
          <w:r>
            <w:rPr>
              <w:rFonts w:cs="Arial"/>
              <w:noProof/>
              <w:sz w:val="44"/>
              <w:szCs w:val="44"/>
              <w:lang w:eastAsia="en-GB"/>
            </w:rPr>
            <w:drawing>
              <wp:inline distT="0" distB="0" distL="0" distR="0" wp14:anchorId="247131A9" wp14:editId="74C6616F">
                <wp:extent cx="1428750" cy="847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969" w:type="dxa"/>
          <w:gridSpan w:val="2"/>
          <w:hideMark/>
        </w:tcPr>
        <w:p w14:paraId="5EEB2A43" w14:textId="77777777" w:rsidR="002C2DBE" w:rsidRDefault="002C2DBE" w:rsidP="002C2DBE">
          <w:pPr>
            <w:pStyle w:val="Header"/>
            <w:spacing w:line="254" w:lineRule="auto"/>
            <w:rPr>
              <w:rFonts w:cs="Arial"/>
              <w:b/>
              <w:i/>
            </w:rPr>
          </w:pPr>
          <w:r>
            <w:rPr>
              <w:rFonts w:cs="Arial"/>
              <w:b/>
            </w:rPr>
            <w:t>Local Government Association</w:t>
          </w:r>
        </w:p>
      </w:tc>
    </w:tr>
    <w:tr w:rsidR="002C2DBE" w14:paraId="4467E8EA" w14:textId="77777777" w:rsidTr="002C2DBE">
      <w:trPr>
        <w:trHeight w:val="450"/>
      </w:trPr>
      <w:tc>
        <w:tcPr>
          <w:tcW w:w="0" w:type="auto"/>
          <w:vMerge/>
          <w:vAlign w:val="center"/>
          <w:hideMark/>
        </w:tcPr>
        <w:p w14:paraId="5491B0FC" w14:textId="77777777" w:rsidR="002C2DBE" w:rsidRDefault="002C2DBE" w:rsidP="002C2DBE">
          <w:pPr>
            <w:rPr>
              <w:rFonts w:ascii="Frutiger 45 Light" w:eastAsia="Times New Roman" w:hAnsi="Frutiger 45 Light" w:cs="Times New Roman"/>
            </w:rPr>
          </w:pPr>
        </w:p>
      </w:tc>
      <w:tc>
        <w:tcPr>
          <w:tcW w:w="3969" w:type="dxa"/>
          <w:gridSpan w:val="2"/>
          <w:hideMark/>
        </w:tcPr>
        <w:p w14:paraId="743F8896" w14:textId="77777777" w:rsidR="002C2DBE" w:rsidRDefault="002C2DBE" w:rsidP="002C2DBE">
          <w:pPr>
            <w:pStyle w:val="Header"/>
            <w:spacing w:before="60" w:line="254" w:lineRule="auto"/>
            <w:rPr>
              <w:rFonts w:cs="Arial"/>
            </w:rPr>
          </w:pPr>
          <w:r>
            <w:rPr>
              <w:rFonts w:cs="Arial"/>
              <w:b/>
            </w:rPr>
            <w:t>Company Number 11177145</w:t>
          </w:r>
        </w:p>
      </w:tc>
    </w:tr>
    <w:tr w:rsidR="002C2DBE" w14:paraId="5158740D" w14:textId="77777777" w:rsidTr="002C2DBE">
      <w:trPr>
        <w:gridAfter w:val="1"/>
        <w:wAfter w:w="710" w:type="dxa"/>
        <w:trHeight w:val="708"/>
      </w:trPr>
      <w:tc>
        <w:tcPr>
          <w:tcW w:w="0" w:type="auto"/>
          <w:vMerge/>
          <w:vAlign w:val="center"/>
          <w:hideMark/>
        </w:tcPr>
        <w:p w14:paraId="615F2DC0" w14:textId="77777777" w:rsidR="002C2DBE" w:rsidRDefault="002C2DBE" w:rsidP="002C2DBE">
          <w:pPr>
            <w:rPr>
              <w:rFonts w:ascii="Frutiger 45 Light" w:eastAsia="Times New Roman" w:hAnsi="Frutiger 45 Light" w:cs="Times New Roman"/>
            </w:rPr>
          </w:pPr>
        </w:p>
      </w:tc>
      <w:tc>
        <w:tcPr>
          <w:tcW w:w="3259" w:type="dxa"/>
          <w:vAlign w:val="center"/>
          <w:hideMark/>
        </w:tcPr>
        <w:p w14:paraId="1B6B094D" w14:textId="77777777" w:rsidR="002C2DBE" w:rsidRDefault="002C2DBE" w:rsidP="002C2DBE">
          <w:pPr>
            <w:pStyle w:val="Header"/>
            <w:spacing w:before="60" w:line="254" w:lineRule="auto"/>
            <w:rPr>
              <w:rFonts w:cs="Arial"/>
              <w:bCs/>
            </w:rPr>
          </w:pPr>
          <w:r>
            <w:rPr>
              <w:rFonts w:cs="Arial"/>
              <w:b/>
              <w:bCs/>
            </w:rPr>
            <w:t>LGA Leadership Board</w:t>
          </w:r>
          <w:r>
            <w:rPr>
              <w:rFonts w:cs="Arial"/>
              <w:bCs/>
            </w:rPr>
            <w:t xml:space="preserve"> </w:t>
          </w:r>
        </w:p>
        <w:p w14:paraId="74508DAF" w14:textId="77777777" w:rsidR="002C2DBE" w:rsidRDefault="002C2DBE" w:rsidP="002C2DBE">
          <w:pPr>
            <w:pStyle w:val="Header"/>
            <w:spacing w:before="60" w:line="254" w:lineRule="auto"/>
            <w:rPr>
              <w:rFonts w:cs="Arial"/>
              <w:b/>
              <w:bCs/>
            </w:rPr>
          </w:pPr>
          <w:r>
            <w:rPr>
              <w:rFonts w:cs="Arial"/>
              <w:bCs/>
            </w:rPr>
            <w:t xml:space="preserve">11 September </w:t>
          </w:r>
          <w:r>
            <w:rPr>
              <w:rFonts w:cs="Arial"/>
            </w:rPr>
            <w:t>2019</w:t>
          </w:r>
        </w:p>
      </w:tc>
    </w:tr>
  </w:tbl>
  <w:p w14:paraId="5837A1D9" w14:textId="77777777" w:rsidR="00136782" w:rsidRDefault="00136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7102EC1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7"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F62B33"/>
    <w:multiLevelType w:val="hybridMultilevel"/>
    <w:tmpl w:val="DC30CA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num>
  <w:num w:numId="6">
    <w:abstractNumId w:val="6"/>
  </w:num>
  <w:num w:numId="7">
    <w:abstractNumId w:val="1"/>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1"/>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10"/>
  </w:num>
  <w:num w:numId="24">
    <w:abstractNumId w:val="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1EF3"/>
    <w:rsid w:val="00003916"/>
    <w:rsid w:val="00003FA9"/>
    <w:rsid w:val="00005147"/>
    <w:rsid w:val="000114A7"/>
    <w:rsid w:val="00016097"/>
    <w:rsid w:val="000306A0"/>
    <w:rsid w:val="00032FCA"/>
    <w:rsid w:val="00045C49"/>
    <w:rsid w:val="000464FC"/>
    <w:rsid w:val="00083D3A"/>
    <w:rsid w:val="00095A9F"/>
    <w:rsid w:val="000A41FE"/>
    <w:rsid w:val="000A7829"/>
    <w:rsid w:val="000B3F8C"/>
    <w:rsid w:val="000B71EB"/>
    <w:rsid w:val="000D0BA6"/>
    <w:rsid w:val="000D70F5"/>
    <w:rsid w:val="000E7DE4"/>
    <w:rsid w:val="000F1E42"/>
    <w:rsid w:val="000F69FB"/>
    <w:rsid w:val="0012016E"/>
    <w:rsid w:val="00125CF3"/>
    <w:rsid w:val="0012704B"/>
    <w:rsid w:val="00136782"/>
    <w:rsid w:val="00142229"/>
    <w:rsid w:val="0015310B"/>
    <w:rsid w:val="00175241"/>
    <w:rsid w:val="001B36CE"/>
    <w:rsid w:val="001B5C79"/>
    <w:rsid w:val="001E44A0"/>
    <w:rsid w:val="002011F6"/>
    <w:rsid w:val="00204333"/>
    <w:rsid w:val="002071CE"/>
    <w:rsid w:val="002122B9"/>
    <w:rsid w:val="00227306"/>
    <w:rsid w:val="00230BAC"/>
    <w:rsid w:val="002460C6"/>
    <w:rsid w:val="002539E9"/>
    <w:rsid w:val="00276BC9"/>
    <w:rsid w:val="00284D35"/>
    <w:rsid w:val="0028722B"/>
    <w:rsid w:val="00296646"/>
    <w:rsid w:val="00296E5B"/>
    <w:rsid w:val="002A321A"/>
    <w:rsid w:val="002B100B"/>
    <w:rsid w:val="002B68AF"/>
    <w:rsid w:val="002C2DBE"/>
    <w:rsid w:val="002C4180"/>
    <w:rsid w:val="002D0C78"/>
    <w:rsid w:val="002D19E9"/>
    <w:rsid w:val="002D2E0C"/>
    <w:rsid w:val="002D5E8B"/>
    <w:rsid w:val="002E0D27"/>
    <w:rsid w:val="002F2D1E"/>
    <w:rsid w:val="00301A51"/>
    <w:rsid w:val="00314831"/>
    <w:rsid w:val="00317446"/>
    <w:rsid w:val="003219CC"/>
    <w:rsid w:val="00323EDA"/>
    <w:rsid w:val="00326540"/>
    <w:rsid w:val="00334A36"/>
    <w:rsid w:val="00345CD6"/>
    <w:rsid w:val="00375564"/>
    <w:rsid w:val="00377C43"/>
    <w:rsid w:val="003826CB"/>
    <w:rsid w:val="00384F97"/>
    <w:rsid w:val="00392566"/>
    <w:rsid w:val="00395CC6"/>
    <w:rsid w:val="003C1DAC"/>
    <w:rsid w:val="003D7938"/>
    <w:rsid w:val="003D7BBD"/>
    <w:rsid w:val="003F0FC0"/>
    <w:rsid w:val="003F3F3E"/>
    <w:rsid w:val="00415858"/>
    <w:rsid w:val="0044577D"/>
    <w:rsid w:val="00452F20"/>
    <w:rsid w:val="00454C45"/>
    <w:rsid w:val="00457BE6"/>
    <w:rsid w:val="00473A09"/>
    <w:rsid w:val="004746F5"/>
    <w:rsid w:val="00493978"/>
    <w:rsid w:val="004A227C"/>
    <w:rsid w:val="004B0CD4"/>
    <w:rsid w:val="004B2A55"/>
    <w:rsid w:val="004B4E82"/>
    <w:rsid w:val="004D1F5D"/>
    <w:rsid w:val="004E2FB7"/>
    <w:rsid w:val="004E674F"/>
    <w:rsid w:val="005031F2"/>
    <w:rsid w:val="005066E2"/>
    <w:rsid w:val="00511540"/>
    <w:rsid w:val="00521315"/>
    <w:rsid w:val="00525B1E"/>
    <w:rsid w:val="00534475"/>
    <w:rsid w:val="00555064"/>
    <w:rsid w:val="005568CF"/>
    <w:rsid w:val="0058143B"/>
    <w:rsid w:val="00591A43"/>
    <w:rsid w:val="005A42F4"/>
    <w:rsid w:val="005A4BF2"/>
    <w:rsid w:val="005A5933"/>
    <w:rsid w:val="005A7DB9"/>
    <w:rsid w:val="005C14CA"/>
    <w:rsid w:val="005C6B4D"/>
    <w:rsid w:val="005F40F0"/>
    <w:rsid w:val="00603675"/>
    <w:rsid w:val="00630649"/>
    <w:rsid w:val="00633341"/>
    <w:rsid w:val="00647EA2"/>
    <w:rsid w:val="00662A6E"/>
    <w:rsid w:val="006639E1"/>
    <w:rsid w:val="00676040"/>
    <w:rsid w:val="006779A7"/>
    <w:rsid w:val="006859DE"/>
    <w:rsid w:val="00692FA0"/>
    <w:rsid w:val="006A6FE1"/>
    <w:rsid w:val="006B00EB"/>
    <w:rsid w:val="006B3280"/>
    <w:rsid w:val="006B4648"/>
    <w:rsid w:val="006B6198"/>
    <w:rsid w:val="006D204B"/>
    <w:rsid w:val="006D27A4"/>
    <w:rsid w:val="006E2EC5"/>
    <w:rsid w:val="006E4E3C"/>
    <w:rsid w:val="006E533E"/>
    <w:rsid w:val="00712C86"/>
    <w:rsid w:val="00752C93"/>
    <w:rsid w:val="007622BA"/>
    <w:rsid w:val="00772177"/>
    <w:rsid w:val="007721EA"/>
    <w:rsid w:val="00776040"/>
    <w:rsid w:val="00776FE4"/>
    <w:rsid w:val="00785024"/>
    <w:rsid w:val="0078594C"/>
    <w:rsid w:val="00795C95"/>
    <w:rsid w:val="007A4329"/>
    <w:rsid w:val="007C6DDB"/>
    <w:rsid w:val="007D1B29"/>
    <w:rsid w:val="007D2922"/>
    <w:rsid w:val="007D2B34"/>
    <w:rsid w:val="007E449D"/>
    <w:rsid w:val="007E58EB"/>
    <w:rsid w:val="00803C4B"/>
    <w:rsid w:val="0080661C"/>
    <w:rsid w:val="0081124E"/>
    <w:rsid w:val="0081321C"/>
    <w:rsid w:val="008158C6"/>
    <w:rsid w:val="0082287B"/>
    <w:rsid w:val="00824C70"/>
    <w:rsid w:val="00826A85"/>
    <w:rsid w:val="00836CDB"/>
    <w:rsid w:val="008427D6"/>
    <w:rsid w:val="0084299F"/>
    <w:rsid w:val="00842F7C"/>
    <w:rsid w:val="008453A7"/>
    <w:rsid w:val="008475F4"/>
    <w:rsid w:val="00861A49"/>
    <w:rsid w:val="008645EE"/>
    <w:rsid w:val="008732CB"/>
    <w:rsid w:val="00891AE9"/>
    <w:rsid w:val="008B563E"/>
    <w:rsid w:val="008D44B3"/>
    <w:rsid w:val="008E4496"/>
    <w:rsid w:val="008F7ECC"/>
    <w:rsid w:val="009012F1"/>
    <w:rsid w:val="009266DD"/>
    <w:rsid w:val="00936B66"/>
    <w:rsid w:val="00944A0D"/>
    <w:rsid w:val="00944FB8"/>
    <w:rsid w:val="009532E5"/>
    <w:rsid w:val="00953334"/>
    <w:rsid w:val="0095686A"/>
    <w:rsid w:val="0096050D"/>
    <w:rsid w:val="0097150E"/>
    <w:rsid w:val="00972661"/>
    <w:rsid w:val="0098437B"/>
    <w:rsid w:val="00986845"/>
    <w:rsid w:val="009A0674"/>
    <w:rsid w:val="009A1D92"/>
    <w:rsid w:val="009A56CC"/>
    <w:rsid w:val="009B1AA8"/>
    <w:rsid w:val="009B1CFE"/>
    <w:rsid w:val="009B6F95"/>
    <w:rsid w:val="009C103F"/>
    <w:rsid w:val="009C4219"/>
    <w:rsid w:val="009C4C30"/>
    <w:rsid w:val="009C7D8D"/>
    <w:rsid w:val="009D10CB"/>
    <w:rsid w:val="009D53BA"/>
    <w:rsid w:val="009E2624"/>
    <w:rsid w:val="009E4537"/>
    <w:rsid w:val="009E6949"/>
    <w:rsid w:val="00A038F8"/>
    <w:rsid w:val="00A079AF"/>
    <w:rsid w:val="00A12B66"/>
    <w:rsid w:val="00A14F6C"/>
    <w:rsid w:val="00A17BEB"/>
    <w:rsid w:val="00A17FE3"/>
    <w:rsid w:val="00A34F5C"/>
    <w:rsid w:val="00A447C6"/>
    <w:rsid w:val="00A52D9C"/>
    <w:rsid w:val="00A54B7B"/>
    <w:rsid w:val="00A814EE"/>
    <w:rsid w:val="00A83B33"/>
    <w:rsid w:val="00A86AE1"/>
    <w:rsid w:val="00A90AE5"/>
    <w:rsid w:val="00A9296B"/>
    <w:rsid w:val="00AA34E4"/>
    <w:rsid w:val="00AC5AFB"/>
    <w:rsid w:val="00AC685C"/>
    <w:rsid w:val="00AD17FD"/>
    <w:rsid w:val="00AD4D67"/>
    <w:rsid w:val="00AF0544"/>
    <w:rsid w:val="00AF1FDD"/>
    <w:rsid w:val="00AF58AC"/>
    <w:rsid w:val="00AF7020"/>
    <w:rsid w:val="00B10FB9"/>
    <w:rsid w:val="00B21B43"/>
    <w:rsid w:val="00B46D28"/>
    <w:rsid w:val="00B51259"/>
    <w:rsid w:val="00B65619"/>
    <w:rsid w:val="00B75954"/>
    <w:rsid w:val="00B81B4E"/>
    <w:rsid w:val="00B84F31"/>
    <w:rsid w:val="00BB3627"/>
    <w:rsid w:val="00BB648A"/>
    <w:rsid w:val="00BC0923"/>
    <w:rsid w:val="00BC4077"/>
    <w:rsid w:val="00BC4B89"/>
    <w:rsid w:val="00BC5D19"/>
    <w:rsid w:val="00BD019F"/>
    <w:rsid w:val="00BD3444"/>
    <w:rsid w:val="00BD72C8"/>
    <w:rsid w:val="00BE3F2C"/>
    <w:rsid w:val="00BE4DAA"/>
    <w:rsid w:val="00BE56B4"/>
    <w:rsid w:val="00BE6E26"/>
    <w:rsid w:val="00BE70D2"/>
    <w:rsid w:val="00BF1ACF"/>
    <w:rsid w:val="00C357CF"/>
    <w:rsid w:val="00C46881"/>
    <w:rsid w:val="00C6389E"/>
    <w:rsid w:val="00C77EA9"/>
    <w:rsid w:val="00C803F3"/>
    <w:rsid w:val="00CB1094"/>
    <w:rsid w:val="00CB5AAA"/>
    <w:rsid w:val="00CC2896"/>
    <w:rsid w:val="00CC349C"/>
    <w:rsid w:val="00CD3A30"/>
    <w:rsid w:val="00CD5500"/>
    <w:rsid w:val="00CF7225"/>
    <w:rsid w:val="00D05B7D"/>
    <w:rsid w:val="00D11CF4"/>
    <w:rsid w:val="00D167C6"/>
    <w:rsid w:val="00D2676B"/>
    <w:rsid w:val="00D45B4D"/>
    <w:rsid w:val="00D52AFF"/>
    <w:rsid w:val="00D54235"/>
    <w:rsid w:val="00D61E0F"/>
    <w:rsid w:val="00D71BF1"/>
    <w:rsid w:val="00D772F3"/>
    <w:rsid w:val="00D803D9"/>
    <w:rsid w:val="00D86E9B"/>
    <w:rsid w:val="00D93AE8"/>
    <w:rsid w:val="00DA7394"/>
    <w:rsid w:val="00DA7D3F"/>
    <w:rsid w:val="00DB2608"/>
    <w:rsid w:val="00DB4BB5"/>
    <w:rsid w:val="00DE20A3"/>
    <w:rsid w:val="00E044BE"/>
    <w:rsid w:val="00E05BAC"/>
    <w:rsid w:val="00E11A72"/>
    <w:rsid w:val="00E15B40"/>
    <w:rsid w:val="00E206E6"/>
    <w:rsid w:val="00E2420E"/>
    <w:rsid w:val="00E3524A"/>
    <w:rsid w:val="00E6161B"/>
    <w:rsid w:val="00E820E8"/>
    <w:rsid w:val="00E9138E"/>
    <w:rsid w:val="00E91FF4"/>
    <w:rsid w:val="00EC2818"/>
    <w:rsid w:val="00EC3C35"/>
    <w:rsid w:val="00EC79E5"/>
    <w:rsid w:val="00ED1879"/>
    <w:rsid w:val="00ED2B7F"/>
    <w:rsid w:val="00F03B7B"/>
    <w:rsid w:val="00F04BF7"/>
    <w:rsid w:val="00F1679B"/>
    <w:rsid w:val="00F37727"/>
    <w:rsid w:val="00F41258"/>
    <w:rsid w:val="00F419EA"/>
    <w:rsid w:val="00F4646E"/>
    <w:rsid w:val="00F608BF"/>
    <w:rsid w:val="00F667C8"/>
    <w:rsid w:val="00F77DF2"/>
    <w:rsid w:val="00F966FF"/>
    <w:rsid w:val="00FA5C4B"/>
    <w:rsid w:val="00FB5900"/>
    <w:rsid w:val="00FB597F"/>
    <w:rsid w:val="00FC31EB"/>
    <w:rsid w:val="00FD1447"/>
    <w:rsid w:val="00FD2C1D"/>
    <w:rsid w:val="00FD6511"/>
    <w:rsid w:val="00FD6C5B"/>
    <w:rsid w:val="00FD790F"/>
    <w:rsid w:val="00FF263A"/>
    <w:rsid w:val="4B5CE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66C187C0-8607-45A4-BADC-A7AD1349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202312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Criteria%20for%20evaluating%20fair%20funding%20review%20proposals%20%28NR%20TWG%2018%2010%29.pdf" TargetMode="External"/><Relationship Id="rId18" Type="http://schemas.openxmlformats.org/officeDocument/2006/relationships/hyperlink" Target="https://www.local.gov.uk/business-rates-retention-mode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cal.gov.uk/topics/finance-and-business-rates/business-rates-retention/systems-design-working-group" TargetMode="External"/><Relationship Id="rId17" Type="http://schemas.openxmlformats.org/officeDocument/2006/relationships/hyperlink" Target="https://www.local.gov.uk/fair-funding-review-modelling-tools" TargetMode="External"/><Relationship Id="rId2" Type="http://schemas.openxmlformats.org/officeDocument/2006/relationships/customXml" Target="../customXml/item2.xml"/><Relationship Id="rId16" Type="http://schemas.openxmlformats.org/officeDocument/2006/relationships/hyperlink" Target="https://www.local.gov.uk/fair-funding-review-modelling-tools"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spending-round-2019-day-briefing" TargetMode="External"/><Relationship Id="rId5" Type="http://schemas.openxmlformats.org/officeDocument/2006/relationships/numbering" Target="numbering.xml"/><Relationship Id="rId15" Type="http://schemas.openxmlformats.org/officeDocument/2006/relationships/hyperlink" Target="https://www.local.gov.uk/fair-funding-review-modelling-too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Divergence%20of%20relative%20needs%20over%20time%20%28NR%20TWG%2018%2009%29.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263088DC6D8D47678CD4E35C0F883646"/>
        <w:category>
          <w:name w:val="General"/>
          <w:gallery w:val="placeholder"/>
        </w:category>
        <w:types>
          <w:type w:val="bbPlcHdr"/>
        </w:types>
        <w:behaviors>
          <w:behavior w:val="content"/>
        </w:behaviors>
        <w:guid w:val="{87BBCD6F-3EF0-4178-B904-E096F7E3DDE5}"/>
      </w:docPartPr>
      <w:docPartBody>
        <w:p w:rsidR="001249FA" w:rsidRDefault="001249FA" w:rsidP="001249FA">
          <w:pPr>
            <w:pStyle w:val="263088DC6D8D47678CD4E35C0F883646"/>
          </w:pPr>
          <w:r w:rsidRPr="00FB1144">
            <w:rPr>
              <w:rStyle w:val="PlaceholderText"/>
            </w:rPr>
            <w:t>Click here to enter text.</w:t>
          </w:r>
        </w:p>
      </w:docPartBody>
    </w:docPart>
    <w:docPart>
      <w:docPartPr>
        <w:name w:val="3F7C27920FF3DE4DA6565E7C34883F50"/>
        <w:category>
          <w:name w:val="General"/>
          <w:gallery w:val="placeholder"/>
        </w:category>
        <w:types>
          <w:type w:val="bbPlcHdr"/>
        </w:types>
        <w:behaviors>
          <w:behavior w:val="content"/>
        </w:behaviors>
        <w:guid w:val="{BEC09AE1-1155-0B48-BECF-47DC0F6911B0}"/>
      </w:docPartPr>
      <w:docPartBody>
        <w:p w:rsidR="00542227" w:rsidRDefault="001C79DF">
          <w:pPr>
            <w:pStyle w:val="3F7C27920FF3DE4DA6565E7C34883F5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Raavi"/>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49FA"/>
    <w:rsid w:val="00140B9E"/>
    <w:rsid w:val="001C79DF"/>
    <w:rsid w:val="001E4011"/>
    <w:rsid w:val="002074F7"/>
    <w:rsid w:val="0028733F"/>
    <w:rsid w:val="002F1F5C"/>
    <w:rsid w:val="004E2C7C"/>
    <w:rsid w:val="00525263"/>
    <w:rsid w:val="00542227"/>
    <w:rsid w:val="006421B5"/>
    <w:rsid w:val="006925D5"/>
    <w:rsid w:val="0075580B"/>
    <w:rsid w:val="00803DE1"/>
    <w:rsid w:val="0082484E"/>
    <w:rsid w:val="00864898"/>
    <w:rsid w:val="008D7B31"/>
    <w:rsid w:val="00903311"/>
    <w:rsid w:val="00922B90"/>
    <w:rsid w:val="009B7886"/>
    <w:rsid w:val="00A40602"/>
    <w:rsid w:val="00A62627"/>
    <w:rsid w:val="00B710F9"/>
    <w:rsid w:val="00BA195A"/>
    <w:rsid w:val="00D724E4"/>
    <w:rsid w:val="00E318F9"/>
    <w:rsid w:val="00EA1502"/>
    <w:rsid w:val="00EA607A"/>
    <w:rsid w:val="00EE1FE1"/>
    <w:rsid w:val="00F64601"/>
    <w:rsid w:val="00F71E40"/>
    <w:rsid w:val="00F822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84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3F7C27920FF3DE4DA6565E7C34883F50">
    <w:name w:val="3F7C27920FF3DE4DA6565E7C34883F50"/>
    <w:pPr>
      <w:spacing w:after="0" w:line="240"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846c3db3-041b-47fd-b02b-1debea70191d"/>
    <ds:schemaRef ds:uri="33320922-3aa3-40cb-b26e-1bfebf933094"/>
  </ds:schemaRefs>
</ds:datastoreItem>
</file>

<file path=customXml/itemProps3.xml><?xml version="1.0" encoding="utf-8"?>
<ds:datastoreItem xmlns:ds="http://schemas.openxmlformats.org/officeDocument/2006/customXml" ds:itemID="{6B2891E6-57FA-402A-822F-6B7530E53FB1}">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93BAD-A7CB-4DB6-A22F-510A7541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6A8DD30E</Template>
  <TotalTime>3</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5</cp:revision>
  <cp:lastPrinted>2019-05-09T09:09:00Z</cp:lastPrinted>
  <dcterms:created xsi:type="dcterms:W3CDTF">2019-09-05T15:57:00Z</dcterms:created>
  <dcterms:modified xsi:type="dcterms:W3CDTF">2019-09-06T13:45:00Z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